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11D43" w14:textId="77777777" w:rsidR="00D174E9" w:rsidRDefault="00D174E9">
      <w:pPr>
        <w:spacing w:before="1000"/>
      </w:pPr>
    </w:p>
    <w:p w14:paraId="676C683B" w14:textId="77777777" w:rsidR="00D174E9" w:rsidRDefault="000F52ED">
      <w:pPr>
        <w:spacing w:after="400"/>
        <w:jc w:val="center"/>
      </w:pPr>
      <w:r>
        <w:rPr>
          <w:noProof/>
        </w:rPr>
        <w:drawing>
          <wp:inline distT="0" distB="0" distL="0" distR="0" wp14:anchorId="34D570C7" wp14:editId="7B543F22">
            <wp:extent cx="952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52500" cy="952500"/>
                    </a:xfrm>
                    <a:prstGeom prst="rect">
                      <a:avLst/>
                    </a:prstGeom>
                  </pic:spPr>
                </pic:pic>
              </a:graphicData>
            </a:graphic>
          </wp:inline>
        </w:drawing>
      </w:r>
    </w:p>
    <w:p w14:paraId="44E797EB" w14:textId="77777777" w:rsidR="00D174E9" w:rsidRDefault="000F52ED">
      <w:pPr>
        <w:spacing w:after="100"/>
        <w:jc w:val="center"/>
      </w:pPr>
      <w:r>
        <w:rPr>
          <w:b/>
          <w:bCs/>
          <w:color w:val="595959"/>
          <w:sz w:val="26"/>
          <w:szCs w:val="26"/>
        </w:rPr>
        <w:t>SUBMISSION TO THE NATIONAL CONSULTATION</w:t>
      </w:r>
    </w:p>
    <w:p w14:paraId="03BBEF36" w14:textId="77777777" w:rsidR="00D174E9" w:rsidRDefault="000F52ED">
      <w:pPr>
        <w:spacing w:after="120"/>
        <w:jc w:val="center"/>
      </w:pPr>
      <w:r>
        <w:rPr>
          <w:b/>
          <w:bCs/>
          <w:color w:val="1F2A44"/>
          <w:sz w:val="52"/>
          <w:szCs w:val="52"/>
        </w:rPr>
        <w:t>SECOND ACTION PLAN</w:t>
      </w:r>
    </w:p>
    <w:p w14:paraId="5BD4A01D" w14:textId="77777777" w:rsidR="00D174E9" w:rsidRDefault="000F52ED">
      <w:pPr>
        <w:spacing w:after="500"/>
        <w:jc w:val="center"/>
      </w:pPr>
      <w:r>
        <w:rPr>
          <w:i/>
          <w:iCs/>
          <w:color w:val="595959"/>
        </w:rPr>
        <w:t>National Plan to End Violence against Women and Children 2022–2032</w:t>
      </w:r>
    </w:p>
    <w:p w14:paraId="070F6CE7" w14:textId="77777777" w:rsidR="00D174E9" w:rsidRDefault="000F52ED">
      <w:pPr>
        <w:pBdr>
          <w:top w:val="single" w:sz="8" w:space="10" w:color="0CC0DF"/>
          <w:bottom w:val="single" w:sz="8" w:space="10" w:color="0CC0DF"/>
        </w:pBdr>
        <w:spacing w:after="200"/>
        <w:jc w:val="center"/>
      </w:pPr>
      <w:r>
        <w:rPr>
          <w:b/>
          <w:bCs/>
          <w:color w:val="1F2A44"/>
        </w:rPr>
        <w:t>Submitted by: Grace &amp; Grit Training and Consulting</w:t>
      </w:r>
    </w:p>
    <w:p w14:paraId="75D190C3" w14:textId="74387300" w:rsidR="00D174E9" w:rsidRDefault="000F52ED">
      <w:pPr>
        <w:spacing w:before="260" w:after="80"/>
        <w:jc w:val="center"/>
      </w:pPr>
      <w:r>
        <w:rPr>
          <w:color w:val="595959"/>
          <w:sz w:val="20"/>
          <w:szCs w:val="20"/>
        </w:rPr>
        <w:t xml:space="preserve">Authors: </w:t>
      </w:r>
      <w:r w:rsidR="000278C2">
        <w:rPr>
          <w:color w:val="595959"/>
          <w:sz w:val="20"/>
          <w:szCs w:val="20"/>
        </w:rPr>
        <w:t>[redacted]</w:t>
      </w:r>
    </w:p>
    <w:p w14:paraId="03AB878C" w14:textId="77777777" w:rsidR="00D174E9" w:rsidRDefault="000F52ED">
      <w:pPr>
        <w:spacing w:after="80"/>
        <w:jc w:val="center"/>
      </w:pPr>
      <w:r>
        <w:rPr>
          <w:color w:val="595959"/>
          <w:sz w:val="20"/>
          <w:szCs w:val="20"/>
        </w:rPr>
        <w:t>Submitted via: engage.dss.gov.au/second-action-plan</w:t>
      </w:r>
    </w:p>
    <w:p w14:paraId="667BBF54" w14:textId="77777777" w:rsidR="00D174E9" w:rsidRDefault="000F52ED">
      <w:pPr>
        <w:jc w:val="center"/>
      </w:pPr>
      <w:r>
        <w:rPr>
          <w:color w:val="595959"/>
          <w:sz w:val="20"/>
          <w:szCs w:val="20"/>
        </w:rPr>
        <w:t>Date: July 2026</w:t>
      </w:r>
    </w:p>
    <w:p w14:paraId="3467DF92" w14:textId="77777777" w:rsidR="00D174E9" w:rsidRDefault="000F52ED">
      <w:r>
        <w:br w:type="page"/>
      </w:r>
    </w:p>
    <w:p w14:paraId="0FF8A6A7" w14:textId="77777777" w:rsidR="00D174E9" w:rsidRDefault="00D174E9">
      <w:pPr>
        <w:sectPr w:rsidR="00D174E9">
          <w:pgSz w:w="11906" w:h="16838"/>
          <w:pgMar w:top="1440" w:right="1440" w:bottom="1440" w:left="1440" w:header="708" w:footer="708" w:gutter="0"/>
          <w:cols w:space="720"/>
          <w:docGrid w:linePitch="360"/>
        </w:sectPr>
      </w:pPr>
    </w:p>
    <w:p w14:paraId="511E1A80" w14:textId="77777777" w:rsidR="00D174E9" w:rsidRDefault="000F52ED">
      <w:pPr>
        <w:pStyle w:val="Heading1"/>
        <w:spacing w:after="300"/>
      </w:pPr>
      <w:r>
        <w:lastRenderedPageBreak/>
        <w:t>Contents</w:t>
      </w:r>
    </w:p>
    <w:p w14:paraId="0AEB856F" w14:textId="77777777" w:rsidR="00D174E9" w:rsidRDefault="000F52ED">
      <w:pPr>
        <w:pBdr>
          <w:bottom w:val="single" w:sz="2" w:space="6" w:color="DDDDDD"/>
        </w:pBdr>
        <w:spacing w:after="180"/>
      </w:pPr>
      <w:r>
        <w:rPr>
          <w:color w:val="1F2A44"/>
          <w:sz w:val="24"/>
          <w:szCs w:val="24"/>
        </w:rPr>
        <w:t>1. Who We Are and Why We Are Responding</w:t>
      </w:r>
    </w:p>
    <w:p w14:paraId="086A9A24" w14:textId="77777777" w:rsidR="00D174E9" w:rsidRDefault="000F52ED">
      <w:pPr>
        <w:pBdr>
          <w:bottom w:val="single" w:sz="2" w:space="6" w:color="DDDDDD"/>
        </w:pBdr>
        <w:spacing w:after="180"/>
      </w:pPr>
      <w:r>
        <w:rPr>
          <w:color w:val="1F2A44"/>
          <w:sz w:val="24"/>
          <w:szCs w:val="24"/>
        </w:rPr>
        <w:t>2. What the National Evidence Shows</w:t>
      </w:r>
    </w:p>
    <w:p w14:paraId="7CA80DFF" w14:textId="77777777" w:rsidR="00D174E9" w:rsidRDefault="000F52ED">
      <w:pPr>
        <w:pBdr>
          <w:bottom w:val="single" w:sz="2" w:space="6" w:color="DDDDDD"/>
        </w:pBdr>
        <w:spacing w:after="180"/>
      </w:pPr>
      <w:r>
        <w:rPr>
          <w:color w:val="1F2A44"/>
          <w:sz w:val="24"/>
          <w:szCs w:val="24"/>
        </w:rPr>
        <w:t>3. The Documentation Gap: Perpetrator Behaviour Is Not Being Recorded</w:t>
      </w:r>
    </w:p>
    <w:p w14:paraId="562DF54F" w14:textId="77777777" w:rsidR="00D174E9" w:rsidRDefault="000F52ED">
      <w:pPr>
        <w:pBdr>
          <w:bottom w:val="single" w:sz="2" w:space="6" w:color="DDDDDD"/>
        </w:pBdr>
        <w:spacing w:after="180"/>
      </w:pPr>
      <w:r>
        <w:rPr>
          <w:color w:val="1F2A44"/>
          <w:sz w:val="24"/>
          <w:szCs w:val="24"/>
        </w:rPr>
        <w:t>4. A National Blind Spot: What Happens When the System Is Full</w:t>
      </w:r>
    </w:p>
    <w:p w14:paraId="3C28B356" w14:textId="77777777" w:rsidR="00D174E9" w:rsidRDefault="000F52ED">
      <w:pPr>
        <w:pBdr>
          <w:bottom w:val="single" w:sz="2" w:space="6" w:color="DDDDDD"/>
        </w:pBdr>
        <w:spacing w:after="180"/>
      </w:pPr>
      <w:r>
        <w:rPr>
          <w:color w:val="1F2A44"/>
          <w:sz w:val="24"/>
          <w:szCs w:val="24"/>
        </w:rPr>
        <w:t>5. The Navigation Gap: Too Many Doors, No Map</w:t>
      </w:r>
    </w:p>
    <w:p w14:paraId="0074C9B4" w14:textId="77777777" w:rsidR="00D174E9" w:rsidRDefault="000F52ED">
      <w:pPr>
        <w:pBdr>
          <w:bottom w:val="single" w:sz="2" w:space="6" w:color="DDDDDD"/>
        </w:pBdr>
        <w:spacing w:after="180"/>
      </w:pPr>
      <w:r>
        <w:rPr>
          <w:color w:val="1F2A44"/>
          <w:sz w:val="24"/>
          <w:szCs w:val="24"/>
        </w:rPr>
        <w:t>6. Grace &amp; Grit's Recommendations by Priority Area</w:t>
      </w:r>
    </w:p>
    <w:p w14:paraId="1B6AC19B" w14:textId="77777777" w:rsidR="00D174E9" w:rsidRDefault="000F52ED">
      <w:pPr>
        <w:pBdr>
          <w:bottom w:val="single" w:sz="2" w:space="6" w:color="DDDDDD"/>
        </w:pBdr>
        <w:spacing w:after="180"/>
      </w:pPr>
      <w:r>
        <w:rPr>
          <w:color w:val="1F2A44"/>
          <w:sz w:val="24"/>
          <w:szCs w:val="24"/>
        </w:rPr>
        <w:t>7. Why the Safe &amp; Together Model Should Be Considered National Practice Infrastructure</w:t>
      </w:r>
    </w:p>
    <w:p w14:paraId="69920829" w14:textId="77777777" w:rsidR="00D174E9" w:rsidRDefault="000F52ED">
      <w:pPr>
        <w:pBdr>
          <w:bottom w:val="single" w:sz="2" w:space="6" w:color="DDDDDD"/>
        </w:pBdr>
        <w:spacing w:after="180"/>
      </w:pPr>
      <w:r>
        <w:rPr>
          <w:color w:val="1F2A44"/>
          <w:sz w:val="24"/>
          <w:szCs w:val="24"/>
        </w:rPr>
        <w:t>8. Learning from International Practice: Cross-Sector Collaboration and Workforce Education</w:t>
      </w:r>
    </w:p>
    <w:p w14:paraId="225002B9" w14:textId="77777777" w:rsidR="00D174E9" w:rsidRDefault="000F52ED">
      <w:pPr>
        <w:pBdr>
          <w:bottom w:val="single" w:sz="2" w:space="6" w:color="DDDDDD"/>
        </w:pBdr>
        <w:spacing w:after="180"/>
      </w:pPr>
      <w:r>
        <w:rPr>
          <w:color w:val="1F2A44"/>
          <w:sz w:val="24"/>
          <w:szCs w:val="24"/>
        </w:rPr>
        <w:t>9. Summary of Recommendations</w:t>
      </w:r>
    </w:p>
    <w:p w14:paraId="72852BB3" w14:textId="77777777" w:rsidR="00D174E9" w:rsidRDefault="000F52ED">
      <w:pPr>
        <w:pBdr>
          <w:bottom w:val="single" w:sz="2" w:space="6" w:color="DDDDDD"/>
        </w:pBdr>
        <w:spacing w:after="180"/>
      </w:pPr>
      <w:r>
        <w:rPr>
          <w:color w:val="1F2A44"/>
          <w:sz w:val="24"/>
          <w:szCs w:val="24"/>
        </w:rPr>
        <w:t>10. Conclusion</w:t>
      </w:r>
    </w:p>
    <w:p w14:paraId="79EA7094" w14:textId="77777777" w:rsidR="00D174E9" w:rsidRDefault="000F52ED">
      <w:r>
        <w:br w:type="page"/>
      </w:r>
    </w:p>
    <w:p w14:paraId="31EDD607" w14:textId="77777777" w:rsidR="00D174E9" w:rsidRDefault="00D174E9">
      <w:pPr>
        <w:sectPr w:rsidR="00D174E9">
          <w:headerReference w:type="default" r:id="rId8"/>
          <w:footerReference w:type="default" r:id="rId9"/>
          <w:pgSz w:w="11906" w:h="16838"/>
          <w:pgMar w:top="1440" w:right="1440" w:bottom="1440" w:left="1440" w:header="708" w:footer="708" w:gutter="0"/>
          <w:cols w:space="720"/>
          <w:docGrid w:linePitch="360"/>
        </w:sectPr>
      </w:pPr>
    </w:p>
    <w:p w14:paraId="0C38928D" w14:textId="77777777" w:rsidR="00D174E9" w:rsidRDefault="000F52ED">
      <w:pPr>
        <w:pStyle w:val="Heading1"/>
        <w:pBdr>
          <w:bottom w:val="single" w:sz="6" w:space="6" w:color="0CC0DF"/>
        </w:pBdr>
        <w:spacing w:before="260" w:after="220"/>
      </w:pPr>
      <w:r>
        <w:lastRenderedPageBreak/>
        <w:t>1. Who We Are and Why We Are Responding</w:t>
      </w:r>
    </w:p>
    <w:p w14:paraId="715AF40D" w14:textId="77777777" w:rsidR="00D174E9" w:rsidRDefault="000F52ED">
      <w:pPr>
        <w:spacing w:after="200"/>
        <w:jc w:val="both"/>
      </w:pPr>
      <w:r>
        <w:t>Before anything else in this submission, we start where we should be working — by acknowledging the strengths of our victim-survivors, and putting them as the experts and the leads in this important work. Victim-survivors — including children and young people as victim-survivors in their own right — are the people who know what actually helps and what will keep them safe and protect them. We are at heart a Safe &amp; Together guided agency. Safe &amp; Together's foundational practice stance, which has guided our ow</w:t>
      </w:r>
      <w:r>
        <w:t>n training delivery and years of direct listening to practitioners, victim-survivors and communities across Australia, is to believe her, hear her, and work with her as a partner in her own and her children's safety, not as a passive subject of a service response. Every recommendation in this submission is offered in that spirit, and we ask that the Second Action Plan hold this as its starting principle, not an afterthought: victim-survivors must be resourced to be central participants in designing the refo</w:t>
      </w:r>
      <w:r>
        <w:t>rms that follow, not only their intended beneficiaries.</w:t>
      </w:r>
    </w:p>
    <w:p w14:paraId="495185D7" w14:textId="77777777" w:rsidR="00D174E9" w:rsidRDefault="000F52ED">
      <w:pPr>
        <w:spacing w:after="200"/>
        <w:jc w:val="both"/>
      </w:pPr>
      <w:r>
        <w:t>Grace &amp; Grit Training and Consulting is a domestic, family and sexual violence-informed training and systems-change organisation based in Tasmania and working nationally. We specialise in Safe &amp; Together™ practice, workforce capability uplift, and cross-sector systems reform.</w:t>
      </w:r>
    </w:p>
    <w:p w14:paraId="57887154" w14:textId="77777777" w:rsidR="00D174E9" w:rsidRDefault="000F52ED">
      <w:pPr>
        <w:spacing w:after="200"/>
        <w:jc w:val="both"/>
      </w:pPr>
      <w:r>
        <w:t>We make this submission as practitioners, trainers and system navigators who work daily with frontline workers, victim-survivors, families and leaders across Australia. We see the system from the inside — not as policymakers, but as the people who support the workforce that must operationalise the National Plan on the ground.</w:t>
      </w:r>
    </w:p>
    <w:p w14:paraId="287096C2" w14:textId="77777777" w:rsidR="00D174E9" w:rsidRDefault="000F52ED">
      <w:pPr>
        <w:spacing w:after="200"/>
        <w:jc w:val="both"/>
      </w:pPr>
      <w:r>
        <w:t>Grace &amp; Grit is an independent, standalone organisation — not part of, or speaking on behalf of, any government department or agency. We speak from practice, from evidence, and from the lived experience of the families and workers we support.</w:t>
      </w:r>
    </w:p>
    <w:p w14:paraId="025451E5" w14:textId="0B403FF3" w:rsidR="00D174E9" w:rsidRDefault="000F52ED">
      <w:pPr>
        <w:spacing w:after="200"/>
        <w:jc w:val="both"/>
      </w:pPr>
      <w:r>
        <w:t xml:space="preserve">This submission draws on direct national and jurisdictional experience: </w:t>
      </w:r>
      <w:r w:rsidR="000278C2">
        <w:t>[redacted]</w:t>
      </w:r>
      <w:r>
        <w:t xml:space="preserve"> appeared before the House of Representatives Standing Committee on Social Policy and Legal Affairs in April 2026 as the only individually invited non-agency practitioner giving evidence on domestic, family and sexual violence, and has contributed formal submissions to the Family Violence Act Review, the Youth Justice Facility Model of Care consultation, and the National DFSV inquiry. </w:t>
      </w:r>
      <w:r w:rsidR="000278C2">
        <w:t>[redacted]</w:t>
      </w:r>
      <w:r>
        <w:t xml:space="preserve"> brings over 40 years of experience across cultural safety, curriculum development and strategic reform, including nine years as an AIATSIS Research Fellow. Grace &amp; Grit is a registered Safe &amp; Together™ Partner Agency, enabling us to independently deliver and quality-assure Safe &amp; Together training nationally.</w:t>
      </w:r>
    </w:p>
    <w:p w14:paraId="77D66141" w14:textId="77777777" w:rsidR="00D174E9" w:rsidRDefault="000F52ED">
      <w:pPr>
        <w:spacing w:after="200"/>
        <w:jc w:val="both"/>
      </w:pPr>
      <w:r>
        <w:t>Our central message to this consultation is simple: Australia does not need more evidence about what works. It needs implementation at scale, integration across systems, and a workforce equipped to deliver domestic, family and sexual violence-informed practice consistently — anchored in a perpetrator pattern-based, child-centred approach. The Safe &amp; Together Model provides exactly this, and we ask that the Second Action Plan recognise and resource it as national practice infrastructure.</w:t>
      </w:r>
    </w:p>
    <w:p w14:paraId="765DFB1D" w14:textId="77777777" w:rsidR="00D174E9" w:rsidRDefault="000F52ED">
      <w:pPr>
        <w:spacing w:after="200"/>
        <w:jc w:val="both"/>
      </w:pPr>
      <w:r>
        <w:t>We want to be upfront that this submission is a snapshot, not the whole picture. No single organisation holds all the answers, and family violence will not be ended by government alone, by any one service, or by any one plan. Alongside the specific recommendations that follow, what we are calling for is a Second Action Plan that actively brings together the many people and organisations already passionate about ending family violence, funds them flexibly enough to let good ideas grow rather than forcing eve</w:t>
      </w:r>
      <w:r>
        <w:t xml:space="preserve">ry response into the same shape, and genuinely invests in communities doing the harder, slower work of changing the tone, the conversations, and the quiet acceptance that still lets family violence hide in plain sight. Stigma does not only harm victim-survivors who fear judgement for staying, for leaving, or for how they present; it also protects perpetrators, by keeping family violence </w:t>
      </w:r>
      <w:r>
        <w:lastRenderedPageBreak/>
        <w:t>a private shame rather than a public, shared responsibility. We name this early because it should shape how every recommendation in this submission is read: as a floor, not a ceiling, and as a call to bring more people into this work, not fewer.</w:t>
      </w:r>
    </w:p>
    <w:p w14:paraId="0E778C16" w14:textId="77777777" w:rsidR="00D174E9" w:rsidRDefault="000F52ED">
      <w:pPr>
        <w:pStyle w:val="Heading1"/>
        <w:pBdr>
          <w:bottom w:val="single" w:sz="6" w:space="6" w:color="0CC0DF"/>
        </w:pBdr>
        <w:spacing w:before="260" w:after="220"/>
      </w:pPr>
      <w:r>
        <w:t>2. What the National Evidence Shows</w:t>
      </w:r>
    </w:p>
    <w:p w14:paraId="1B45E7E9" w14:textId="77777777" w:rsidR="00D174E9" w:rsidRDefault="000F52ED">
      <w:pPr>
        <w:spacing w:after="200"/>
        <w:jc w:val="both"/>
      </w:pPr>
      <w:r>
        <w:t>Across ANROWS, the Domestic, Family and Sexual Violence Commission, the National Framework for Protecting Australia's Children, and Our Ways – Strong Ways – Our Voices, the message is consistent: we know what works, we know what doesn't, we know where the gaps are, and we know what needs to change. What Australia lacks is implementation at scale, integration across systems, and a workforce equipped to deliver this practice consistently.</w:t>
      </w:r>
    </w:p>
    <w:p w14:paraId="63DE86CC" w14:textId="77777777" w:rsidR="00D174E9" w:rsidRDefault="000F52ED">
      <w:pPr>
        <w:pStyle w:val="Heading2"/>
        <w:spacing w:before="240" w:after="130"/>
      </w:pPr>
      <w:r>
        <w:t>2.1 Fragmented systems and inconsistent practice</w:t>
      </w:r>
    </w:p>
    <w:p w14:paraId="6AE61FF1" w14:textId="77777777" w:rsidR="00D174E9" w:rsidRDefault="000F52ED">
      <w:pPr>
        <w:pBdr>
          <w:left w:val="single" w:sz="18" w:space="8" w:color="0CC0DF"/>
        </w:pBdr>
        <w:spacing w:before="100" w:after="200"/>
        <w:ind w:left="360"/>
      </w:pPr>
      <w:r>
        <w:rPr>
          <w:i/>
          <w:iCs/>
          <w:color w:val="1F2A44"/>
        </w:rPr>
        <w:t>"Too many people are navigating systems that are fragmented and hard to access."</w:t>
      </w:r>
      <w:r>
        <w:rPr>
          <w:i/>
          <w:iCs/>
          <w:color w:val="595959"/>
          <w:sz w:val="20"/>
          <w:szCs w:val="20"/>
        </w:rPr>
        <w:t xml:space="preserve">  — Ministers' Foreword, Second Action Plan Consultation Paper</w:t>
      </w:r>
    </w:p>
    <w:p w14:paraId="1964469B" w14:textId="77777777" w:rsidR="00D174E9" w:rsidRDefault="000F52ED">
      <w:pPr>
        <w:spacing w:after="200"/>
        <w:jc w:val="both"/>
      </w:pPr>
      <w:r>
        <w:t>Across Australia, we see police, Child Safety, courts, health, education and NGOs using different language; inconsistent documentation; risk assessed differently across sectors; misidentification of victim-survivors; children's experiences minimised; perpetrators invisible in case notes; and siloed decision-making. These are national system design failures, not jurisdiction-specific issues.</w:t>
      </w:r>
    </w:p>
    <w:p w14:paraId="36F56AEC" w14:textId="77777777" w:rsidR="00D174E9" w:rsidRDefault="000F52ED">
      <w:pPr>
        <w:spacing w:after="200"/>
        <w:jc w:val="both"/>
      </w:pPr>
      <w:r>
        <w:t>This pattern-invisibility is not only a practice observation — it is an evidenced critique. Flood and Dembele's Putting Perpetrators in the Picture (QUT Centre for Justice, 2021) demonstrates how passive language conventions — "a woman was killed" rather than "a man killed a woman" — erode perpetrator accountability across service systems and shape how risk is recorded and understood. The 2021 murder of Doreen Langham in Queensland shows the practical cost of this invisibility: in the fifteen days before he</w:t>
      </w:r>
      <w:r>
        <w:t>r death she had contact with 16 different police officers, and counsel assisting the coroner found the response was marked by "so many inadequacies" — not because information was missing, but because no mechanism existed to connect repeated contacts into a single, continuous risk picture attached to her former partner.</w:t>
      </w:r>
    </w:p>
    <w:p w14:paraId="0013A592" w14:textId="77777777" w:rsidR="00D174E9" w:rsidRDefault="000F52ED">
      <w:pPr>
        <w:spacing w:after="200"/>
        <w:jc w:val="both"/>
      </w:pPr>
      <w:r>
        <w:t>This is not only a historical or interstate problem, and it is not confined to service systems — it extends to how the public itself is told what has happened. Tasmanian media coverage of the Exeter stabbing referenced later in this submission, published in the same week this submission was drafted, illustrates the same pattern in real time. Coverage described, accurately and in detail, a man stabbing his partner multiple times while her children were in the house, followed by his death in a crash he caused</w:t>
      </w:r>
      <w:r>
        <w:t xml:space="preserve"> while fleeing the scene. In the reporting we have reviewed, at no point was the incident named as what it was: a family violence incident. It was reported as a "stabbing," a "wounding" and a "crash" — three separate, disconnected events rather than one continuous act of family violence with catastrophic, cascading consequences for two women. This is not a minor semantic quibble. Language that will not name family violence as family violence cannot build public understanding of it as a pattern, a public hea</w:t>
      </w:r>
      <w:r>
        <w:t>lth crisis, or anyone's business but the two people directly involved — which is precisely the stigma that keeps family violence hidden, under-resourced, and treated as a private matter rather than a shared community responsibility. We recommend the Second Action Plan work directly with media organisations and the Australian Press Council to establish and actively monitor consistent, accurate naming standards for family violence reporting, building on the Our Watch reporting guidelines that already exist bu</w:t>
      </w:r>
      <w:r>
        <w:t>t are inconsistently followed.</w:t>
      </w:r>
    </w:p>
    <w:p w14:paraId="0CC3909C" w14:textId="77777777" w:rsidR="00D174E9" w:rsidRDefault="000F52ED">
      <w:pPr>
        <w:pStyle w:val="Heading2"/>
        <w:spacing w:before="240" w:after="130"/>
      </w:pPr>
      <w:r>
        <w:t>2.2 Failure to identify coercive control</w:t>
      </w:r>
    </w:p>
    <w:p w14:paraId="458F577C" w14:textId="77777777" w:rsidR="00D174E9" w:rsidRDefault="000F52ED">
      <w:pPr>
        <w:pBdr>
          <w:left w:val="single" w:sz="18" w:space="8" w:color="0CC0DF"/>
        </w:pBdr>
        <w:spacing w:before="100" w:after="200"/>
        <w:ind w:left="360"/>
      </w:pPr>
      <w:r>
        <w:rPr>
          <w:i/>
          <w:iCs/>
          <w:color w:val="1F2A44"/>
        </w:rPr>
        <w:lastRenderedPageBreak/>
        <w:t>"growing recognition of stalking and coercive control as central features of...violence, highlighting the need to improve how these behaviours are measured and understood"</w:t>
      </w:r>
      <w:r>
        <w:rPr>
          <w:i/>
          <w:iCs/>
          <w:color w:val="595959"/>
          <w:sz w:val="20"/>
          <w:szCs w:val="20"/>
        </w:rPr>
        <w:t xml:space="preserve">  — ANROWS, Evidence to Action (May 2026)</w:t>
      </w:r>
    </w:p>
    <w:p w14:paraId="271C1AFD" w14:textId="77777777" w:rsidR="00D174E9" w:rsidRDefault="000F52ED">
      <w:pPr>
        <w:pBdr>
          <w:left w:val="single" w:sz="18" w:space="8" w:color="0CC0DF"/>
        </w:pBdr>
        <w:spacing w:before="100" w:after="200"/>
        <w:ind w:left="360"/>
      </w:pPr>
      <w:r>
        <w:rPr>
          <w:i/>
          <w:iCs/>
          <w:color w:val="1F2A44"/>
        </w:rPr>
        <w:t>"The segregation and siloing that characterises too many of our responses enables violence against the most vulnerable."</w:t>
      </w:r>
      <w:r>
        <w:rPr>
          <w:i/>
          <w:iCs/>
          <w:color w:val="595959"/>
          <w:sz w:val="20"/>
          <w:szCs w:val="20"/>
        </w:rPr>
        <w:t xml:space="preserve">  — DFSV Commission</w:t>
      </w:r>
    </w:p>
    <w:p w14:paraId="7C443599" w14:textId="77777777" w:rsidR="00D174E9" w:rsidRDefault="000F52ED">
      <w:pPr>
        <w:spacing w:after="200"/>
        <w:jc w:val="both"/>
      </w:pPr>
      <w:r>
        <w:t>Across states and territories we see incident-based responses, failure to recognise patterns, failure to track escalation, and failure to connect risk across agencies. Recent homicides across multiple jurisdictions — including Tasmania, Queensland, NSW and SA — involved perpetrators who were not on police radar, despite clear patterns of coercive control. This is not because risk was low. It is because coercive control was not recognised.</w:t>
      </w:r>
    </w:p>
    <w:p w14:paraId="5FC918AE" w14:textId="77777777" w:rsidR="00D174E9" w:rsidRDefault="000F52ED">
      <w:pPr>
        <w:spacing w:after="200"/>
        <w:jc w:val="both"/>
      </w:pPr>
      <w:r>
        <w:t>The 2005 killing of Jai, Tyler and Bailey Farquharson by their father Robert Farquharson at Winchelsea, Victoria, illustrates this precisely. There was no prior domestic violence order and no police callout history. What existed instead was an observable, escalating pattern of possessiveness and resentment following separation, including a statement to an acquaintance some two months earlier that he intended to "take away the things that mean the most to her." Two separate juries, following a retrial, found</w:t>
      </w:r>
      <w:r>
        <w:t xml:space="preserve"> that this pattern, considered as a whole, established premeditated murder. The absence of a formal record before the deaths was not the absence of risk. It was the absence of any mechanism capable of recognising an escalating pattern that had not yet produced a police-reportable incident.</w:t>
      </w:r>
    </w:p>
    <w:p w14:paraId="40C4ACD8" w14:textId="77777777" w:rsidR="00D174E9" w:rsidRDefault="000F52ED">
      <w:pPr>
        <w:pStyle w:val="Heading2"/>
        <w:spacing w:before="240" w:after="130"/>
      </w:pPr>
      <w:r>
        <w:t>2.3 Police-perpetrated DFV and trust</w:t>
      </w:r>
    </w:p>
    <w:p w14:paraId="5427A7F2" w14:textId="77777777" w:rsidR="00D174E9" w:rsidRDefault="000F52ED">
      <w:pPr>
        <w:pBdr>
          <w:left w:val="single" w:sz="18" w:space="8" w:color="0CC0DF"/>
        </w:pBdr>
        <w:spacing w:before="100" w:after="200"/>
        <w:ind w:left="360"/>
      </w:pPr>
      <w:r>
        <w:rPr>
          <w:i/>
          <w:iCs/>
          <w:color w:val="1F2A44"/>
        </w:rPr>
        <w:t>"Police are uniquely positioned... to perpetrate DFV while often evading accountability and leaving victim-survivors with limited options to seek protection and redress."</w:t>
      </w:r>
      <w:r>
        <w:rPr>
          <w:i/>
          <w:iCs/>
          <w:color w:val="595959"/>
          <w:sz w:val="20"/>
          <w:szCs w:val="20"/>
        </w:rPr>
        <w:t xml:space="preserve">  — Australian Institute of Criminology</w:t>
      </w:r>
    </w:p>
    <w:p w14:paraId="1062C1B7" w14:textId="77777777" w:rsidR="00D174E9" w:rsidRDefault="000F52ED">
      <w:pPr>
        <w:spacing w:after="200"/>
        <w:jc w:val="both"/>
      </w:pPr>
      <w:r>
        <w:t>Victim-survivors across Australia tell us: "How can I call police when some perpetrators are police?" and "What if the responding officer is his mate?" This is a structural trust risk, not a communications problem, and it needs a structural response.</w:t>
      </w:r>
    </w:p>
    <w:p w14:paraId="37AE31F1" w14:textId="77777777" w:rsidR="00D174E9" w:rsidRDefault="000F52ED">
      <w:pPr>
        <w:spacing w:after="200"/>
        <w:jc w:val="both"/>
      </w:pPr>
      <w:r>
        <w:t>This is not a hypothetical concern in Tasmania. In the space of a single week in early May 2026, Tasmania Police confirmed that three of its own officers had been charged with criminal offences following separate incidents. A 28-year-old constable from Northern Tasmania was charged with common assault and issued with a Police Family Violence Order following an alleged off-duty incident, and was stood down immediately pending investigation by Tasmania Police's Professional Standards Command. We note this fac</w:t>
      </w:r>
      <w:r>
        <w:t>tually and without pre-judging any outcome — at the time of writing, the matter remains before the courts. The point for this submission is not the guilt or innocence of any individual officer, but what it means structurally that the workforce delivering a state's specialist family violence response cannot be presumed immune from the same behaviour it is tasked with responding to in the community.</w:t>
      </w:r>
    </w:p>
    <w:p w14:paraId="30BEC7B0" w14:textId="77777777" w:rsidR="00D174E9" w:rsidRDefault="000F52ED">
      <w:pPr>
        <w:spacing w:after="200"/>
        <w:jc w:val="both"/>
      </w:pPr>
      <w:r>
        <w:t>Tasmania has already taken a constructive step here that other jurisdictions have not: its Family and Sexual Violence Involving Police Policy establishes an independent, externally-chaired Review Committee specifically to provide impartial oversight of family and sexual violence incidents involving Tasmania Police members, separate from the ordinary chain of command. We recommend the Second Action Plan require every state and territory police force to establish an equivalent independent review mechanism, an</w:t>
      </w:r>
      <w:r>
        <w:t>d that outcomes be reported nationally and consistently, rather than managed solely as an internal disciplinary matter left to each jurisdiction's discretion.</w:t>
      </w:r>
    </w:p>
    <w:p w14:paraId="21FF7C50" w14:textId="77777777" w:rsidR="00D174E9" w:rsidRDefault="000F52ED">
      <w:pPr>
        <w:pStyle w:val="Heading2"/>
        <w:spacing w:before="240" w:after="130"/>
      </w:pPr>
      <w:r>
        <w:t>2.4 Gaps in perpetrator interventions</w:t>
      </w:r>
    </w:p>
    <w:p w14:paraId="6150C694" w14:textId="77777777" w:rsidR="00D174E9" w:rsidRDefault="000F52ED">
      <w:pPr>
        <w:pBdr>
          <w:left w:val="single" w:sz="18" w:space="8" w:color="0CC0DF"/>
        </w:pBdr>
        <w:spacing w:before="100" w:after="200"/>
        <w:ind w:left="360"/>
      </w:pPr>
      <w:r>
        <w:rPr>
          <w:i/>
          <w:iCs/>
          <w:color w:val="1F2A44"/>
        </w:rPr>
        <w:lastRenderedPageBreak/>
        <w:t>"Earlier identification and multi-sector approaches to accountability and behaviour change."</w:t>
      </w:r>
      <w:r>
        <w:rPr>
          <w:i/>
          <w:iCs/>
          <w:color w:val="595959"/>
          <w:sz w:val="20"/>
          <w:szCs w:val="20"/>
        </w:rPr>
        <w:t xml:space="preserve">  — ANROWS, Priority Area 4</w:t>
      </w:r>
    </w:p>
    <w:p w14:paraId="72DEFA79" w14:textId="77777777" w:rsidR="00D174E9" w:rsidRDefault="000F52ED">
      <w:pPr>
        <w:spacing w:after="200"/>
        <w:jc w:val="both"/>
      </w:pPr>
      <w:r>
        <w:t>Across Australia we see inconsistent availability of Caring Dads, limited Walking with Dads, long waitlists for Men's Behaviour Change Programs, almost no adolescent behaviour-change programs, limited culturally safe programs for Aboriginal men, and promising digital tools (Inner Boy, She's Not Your Rehab) that are not integrated into systems.</w:t>
      </w:r>
    </w:p>
    <w:p w14:paraId="6F3BE492" w14:textId="77777777" w:rsidR="00D174E9" w:rsidRDefault="000F52ED">
      <w:pPr>
        <w:pStyle w:val="Heading2"/>
        <w:spacing w:before="240" w:after="130"/>
      </w:pPr>
      <w:r>
        <w:t>2.5 Gaps for children and young people</w:t>
      </w:r>
    </w:p>
    <w:p w14:paraId="67BCB58A" w14:textId="77777777" w:rsidR="00D174E9" w:rsidRDefault="000F52ED">
      <w:pPr>
        <w:pBdr>
          <w:left w:val="single" w:sz="18" w:space="8" w:color="0CC0DF"/>
        </w:pBdr>
        <w:spacing w:before="100" w:after="200"/>
        <w:ind w:left="360"/>
      </w:pPr>
      <w:r>
        <w:rPr>
          <w:i/>
          <w:iCs/>
          <w:color w:val="1F2A44"/>
        </w:rPr>
        <w:t>"Children and young people in their own right... including young people who use violence."</w:t>
      </w:r>
      <w:r>
        <w:rPr>
          <w:i/>
          <w:iCs/>
          <w:color w:val="595959"/>
          <w:sz w:val="20"/>
          <w:szCs w:val="20"/>
        </w:rPr>
        <w:t xml:space="preserve">  — ANROWS, Priority Area 3</w:t>
      </w:r>
    </w:p>
    <w:p w14:paraId="4D8D5CC1" w14:textId="77777777" w:rsidR="00D174E9" w:rsidRDefault="000F52ED">
      <w:pPr>
        <w:pBdr>
          <w:left w:val="single" w:sz="18" w:space="8" w:color="0CC0DF"/>
        </w:pBdr>
        <w:spacing w:before="100" w:after="200"/>
        <w:ind w:left="360"/>
      </w:pPr>
      <w:r>
        <w:rPr>
          <w:i/>
          <w:iCs/>
          <w:color w:val="1F2A44"/>
        </w:rPr>
        <w:t>"Three-quarters (76%) of filicide cases followed a known history of domestic and family violence."</w:t>
      </w:r>
      <w:r>
        <w:rPr>
          <w:i/>
          <w:iCs/>
          <w:color w:val="595959"/>
          <w:sz w:val="20"/>
          <w:szCs w:val="20"/>
        </w:rPr>
        <w:t xml:space="preserve">  — ANROWS, Evidence to Action (May 2026)</w:t>
      </w:r>
    </w:p>
    <w:p w14:paraId="432C27FD" w14:textId="77777777" w:rsidR="00D174E9" w:rsidRDefault="000F52ED">
      <w:pPr>
        <w:pBdr>
          <w:left w:val="single" w:sz="18" w:space="8" w:color="0CC0DF"/>
        </w:pBdr>
        <w:spacing w:before="100" w:after="200"/>
        <w:ind w:left="360"/>
      </w:pPr>
      <w:r>
        <w:rPr>
          <w:i/>
          <w:iCs/>
          <w:color w:val="1F2A44"/>
        </w:rPr>
        <w:t>"Prevention must begin in childhood."</w:t>
      </w:r>
      <w:r>
        <w:rPr>
          <w:i/>
          <w:iCs/>
          <w:color w:val="595959"/>
          <w:sz w:val="20"/>
          <w:szCs w:val="20"/>
        </w:rPr>
        <w:t xml:space="preserve">  — DFSV Commission</w:t>
      </w:r>
    </w:p>
    <w:p w14:paraId="1006E084" w14:textId="77777777" w:rsidR="00D174E9" w:rsidRDefault="000F52ED">
      <w:pPr>
        <w:spacing w:after="200"/>
        <w:jc w:val="both"/>
      </w:pPr>
      <w:r>
        <w:t>There is no national youth DFV strategy, limited adolescent behaviour-change programs, inconsistent DFV-informed school-based practice, and child-centred DFV practice is not embedded across Child Safety, education or youth justice.</w:t>
      </w:r>
    </w:p>
    <w:p w14:paraId="72DFE5FE" w14:textId="77777777" w:rsidR="00D174E9" w:rsidRDefault="000F52ED">
      <w:pPr>
        <w:spacing w:after="200"/>
        <w:jc w:val="both"/>
      </w:pPr>
      <w:r>
        <w:t>Genuine co-design with children and young people does not need to be tokenistic — international models show what a structured, resourced approach looks like. The Children in All Policies 2030 Youth Advisory Board gives young people formal mandates, ongoing input into strategy and communications, feedback on how their contributions were used, and named authorship on published outputs, rather than one-off consultation. Australia does not yet have an equivalent structured mechanism for domestic, family and sex</w:t>
      </w:r>
      <w:r>
        <w:t>ual violence policy.</w:t>
      </w:r>
    </w:p>
    <w:p w14:paraId="12872A67" w14:textId="77777777" w:rsidR="00D174E9" w:rsidRDefault="000F52ED">
      <w:pPr>
        <w:spacing w:after="200"/>
        <w:jc w:val="both"/>
      </w:pPr>
      <w:r>
        <w:t>The Australian Government's July 2026 appointment of the Australian Childhood Foundation, in partnership with Anglicare Victoria, to deliver a national child sexual abuse information and referral service — responding to Recommendation 9.5 of the Royal Commission into Institutional Responses to Child Sexual Abuse — is a welcome and overdue investment. It sits under the separate National Strategy to Prevent and Respond to Child Sexual Abuse rather than this National Plan. But a significant proportion of child</w:t>
      </w:r>
      <w:r>
        <w:t xml:space="preserve"> sexual abuse occurs within a domestic and family violence context, and children should not be triaged into two disconnected national systems depending on which agency first identifies their experience. We recommend the Second Action Plan explicitly require coordination between this new national CSA service and DFV-context child protection and perpetrator-pattern documentation processes, consistent with the "tell us once" principle already committed to elsewhere in this consultation, so families are not req</w:t>
      </w:r>
      <w:r>
        <w:t>uired to repeat their story across parallel national systems.</w:t>
      </w:r>
    </w:p>
    <w:p w14:paraId="66725EE6" w14:textId="77777777" w:rsidR="00D174E9" w:rsidRDefault="000F52ED">
      <w:pPr>
        <w:pStyle w:val="Heading2"/>
        <w:spacing w:before="240" w:after="130"/>
      </w:pPr>
      <w:r>
        <w:t>2.6 First Nations priorities</w:t>
      </w:r>
    </w:p>
    <w:p w14:paraId="4CAF8135" w14:textId="77777777" w:rsidR="00D174E9" w:rsidRDefault="000F52ED">
      <w:pPr>
        <w:pBdr>
          <w:left w:val="single" w:sz="18" w:space="8" w:color="0CC0DF"/>
        </w:pBdr>
        <w:spacing w:before="100" w:after="200"/>
        <w:ind w:left="360"/>
      </w:pPr>
      <w:r>
        <w:rPr>
          <w:i/>
          <w:iCs/>
          <w:color w:val="1F2A44"/>
        </w:rPr>
        <w:t>"About 3% of the adult female population are Aboriginal and Torres Strait Islander women, yet they comprised an average of 16% of adult female homicide victims each year since 1989–90."</w:t>
      </w:r>
      <w:r>
        <w:rPr>
          <w:i/>
          <w:iCs/>
          <w:color w:val="595959"/>
          <w:sz w:val="20"/>
          <w:szCs w:val="20"/>
        </w:rPr>
        <w:t xml:space="preserve">  — Australian Institute of Criminology, cited in ANROWS, Evidence to Action (May 2026)</w:t>
      </w:r>
    </w:p>
    <w:p w14:paraId="03FCBE6D" w14:textId="77777777" w:rsidR="00D174E9" w:rsidRDefault="000F52ED">
      <w:pPr>
        <w:pBdr>
          <w:left w:val="single" w:sz="18" w:space="8" w:color="0CC0DF"/>
        </w:pBdr>
        <w:spacing w:before="100" w:after="200"/>
        <w:ind w:left="360"/>
      </w:pPr>
      <w:r>
        <w:rPr>
          <w:i/>
          <w:iCs/>
          <w:color w:val="1F2A44"/>
        </w:rPr>
        <w:t>"Reforming the institutions and systems that impact safety strengthens the whole."</w:t>
      </w:r>
      <w:r>
        <w:rPr>
          <w:i/>
          <w:iCs/>
          <w:color w:val="595959"/>
          <w:sz w:val="20"/>
          <w:szCs w:val="20"/>
        </w:rPr>
        <w:t xml:space="preserve">  — Our Ways – Strong Ways – Our Voices</w:t>
      </w:r>
    </w:p>
    <w:p w14:paraId="12220BDB" w14:textId="77777777" w:rsidR="00D174E9" w:rsidRDefault="000F52ED">
      <w:pPr>
        <w:spacing w:after="200"/>
        <w:jc w:val="both"/>
      </w:pPr>
      <w:r>
        <w:t>Across Australia we see misidentification of Aboriginal women, lack of cultural safety, under-resourced ACCOs, limited community-led healing programs, and systems that continue to replicate colonial harm. These are national structural issues requiring First Nations-led solutions.</w:t>
      </w:r>
    </w:p>
    <w:p w14:paraId="3F2D8323" w14:textId="77777777" w:rsidR="00D174E9" w:rsidRDefault="000F52ED">
      <w:pPr>
        <w:pStyle w:val="Heading2"/>
        <w:spacing w:before="240" w:after="130"/>
      </w:pPr>
      <w:r>
        <w:t>2.7 Systems abuse: when government processes become tools of control</w:t>
      </w:r>
    </w:p>
    <w:p w14:paraId="500CA07E" w14:textId="77777777" w:rsidR="00D174E9" w:rsidRDefault="000F52ED">
      <w:pPr>
        <w:spacing w:after="200"/>
        <w:jc w:val="both"/>
      </w:pPr>
      <w:r>
        <w:lastRenderedPageBreak/>
        <w:t>Financial and administrative abuse rarely ends at separation, and it rarely stays inside one system. Tax debts, amended tax records, benefit overpayments, child support assessments, superannuation and corporate structures can all be manipulated during a relationship and continue causing harm long after it ends — yet each agency typically sees only its own file. Tax sees tax. Centrelink sees Centrelink. The family court sees property proceedings. No single agency is positioned to see the whole pattern, and t</w:t>
      </w:r>
      <w:r>
        <w:t>he burden of proving the connection between the relationship, the systems and the resulting harm falls on the victim-survivor. Federal Circuit and Family Court of Australia data confirms the scale of what these siloed systems are already handling: in 2024–25, one or more parties alleged family violence in 86% of matters before the Court, and over 73% of matters involved four or more alleged risk factors. This is not a marginal issue at the edge of the system — it is the substantial majority of what the fami</w:t>
      </w:r>
      <w:r>
        <w:t>ly law system now processes. ANROWS's own evidence base already names this gap: Priority Area 1's key opportunities call to systematically address systems abuse across sectors (e.g. financial or justice systems) and improve coordination across different services and sectors. We ask that the Second Action Plan turn this into resourced, cross-agency infrastructure — not a further round of siloed departmental reviews.</w:t>
      </w:r>
    </w:p>
    <w:p w14:paraId="0F75E641" w14:textId="77777777" w:rsidR="00D174E9" w:rsidRDefault="000F52ED">
      <w:pPr>
        <w:pStyle w:val="Heading2"/>
        <w:spacing w:before="240" w:after="130"/>
      </w:pPr>
      <w:r>
        <w:t>2.8 Sexual violence rendered invisible under the DFSV umbrella</w:t>
      </w:r>
    </w:p>
    <w:p w14:paraId="390F1558" w14:textId="77777777" w:rsidR="00D174E9" w:rsidRDefault="000F52ED">
      <w:pPr>
        <w:spacing w:after="200"/>
        <w:jc w:val="both"/>
      </w:pPr>
      <w:r>
        <w:t>Sexual violence is nominally included under the "domestic, family and sexual violence" umbrella but functionally disappears in practice. The DFSV Commission's own Monitoring and Reporting Framework (May 2026) is a clear example: across its full set of national-level targets and measures, sexual violence appears only once as a target — a 2-point increase in community attitudes that reject sexual violence every four years — and once as its corresponding measure, the Sexual Violence Scale. There is no dedicate</w:t>
      </w:r>
      <w:r>
        <w:t>d sexual violence prevalence, service-access or funding indicator anywhere in the Framework, including its National Funding Mapping Framework section. This gap was raised publicly following the Framework's release by sexual violence sector advocates and researchers, including Sharna Bremner (Founder, End Rape on Campus Australia) and Rachael Burgin (CEO, Rape and Sexual Assault Research and Advocacy), who noted that sexual violence is measured almost exclusively through DFV-coded indicators despite being na</w:t>
      </w:r>
      <w:r>
        <w:t>med in the Framework's own title.</w:t>
      </w:r>
    </w:p>
    <w:p w14:paraId="12B2A09F" w14:textId="77777777" w:rsidR="00D174E9" w:rsidRDefault="000F52ED">
      <w:pPr>
        <w:spacing w:after="200"/>
        <w:jc w:val="both"/>
      </w:pPr>
      <w:r>
        <w:t xml:space="preserve">This is not a new risk. ANROWS's own evidence base for this consultation names it directly: early consultation has highlighted the need to differentiate family and domestic violence from sexual violence, noting the significant difference in prevalence, prevention and early intervention, and service responses related to these forms of harm (ANROWS, Evidence to Action, May 2026). That same evidence base confirms rates of sexual violence and stalking against women have remained largely stable since 2005 while </w:t>
      </w:r>
      <w:r>
        <w:t>other forms of violence are declining. Folding sexual violence into a shared acronym without shared measurement or a shared funding line has not protected it — it has made it disappear from the data meant to hold the system accountable. We recommend the Second Action Plan commit to dedicated sexual violence prevalence, service-access and funding indicators — distinct from DFV measures — across all National Plan reporting, including the DFSV Commission's Monitoring and Reporting Framework and the National Fu</w:t>
      </w:r>
      <w:r>
        <w:t>nding Mapping Framework.</w:t>
      </w:r>
    </w:p>
    <w:p w14:paraId="69C8AA75" w14:textId="77777777" w:rsidR="00D174E9" w:rsidRDefault="000F52ED">
      <w:pPr>
        <w:pStyle w:val="Heading2"/>
        <w:spacing w:before="240" w:after="130"/>
      </w:pPr>
      <w:r>
        <w:t>2.9 Family violence radiates beyond the relationship — prevention must be a whole-of-community responsibility</w:t>
      </w:r>
    </w:p>
    <w:p w14:paraId="52403B45" w14:textId="77777777" w:rsidR="00D174E9" w:rsidRDefault="000F52ED">
      <w:pPr>
        <w:spacing w:after="200"/>
        <w:jc w:val="both"/>
      </w:pPr>
      <w:r>
        <w:t>Family violence does not stay contained inside a single relationship, and the evidence for that is not abstract. On 24 July 2026, Tasmania Police confirmed a serious wounding at a residential property in Exeter, in Tasmania's north, where a woman in her 40s sustained multiple stab wounds inflicted, police say, by a man known to her, while her children were in the house. The man fled the scene and was involved in a head-on collision on the West Tamar Highway a short time later. He died at the scene. The woma</w:t>
      </w:r>
      <w:r>
        <w:t xml:space="preserve">n in the oncoming vehicle — a woman in her 30s with no connection to the relationship at all, the sole occupant of her own car, driving home — was taken to hospital in a serious condition and, police confirmed days later, subsequently died from her injuries. Two women were harmed that </w:t>
      </w:r>
      <w:r>
        <w:lastRenderedPageBreak/>
        <w:t>afternoon by one man's violence: one he knew, and one he had never met. One is now living with the physical and psychological aftermath of being stabbed by a partner in front of her own children. The other is dead, and her family now includes children left without their mother, killed by a stranger's family violence that had nothing to do with them at all. This is what "no one is safe from the impacts" looks like in practice, and it is not an isolated pattern.</w:t>
      </w:r>
    </w:p>
    <w:p w14:paraId="052EAE12" w14:textId="77777777" w:rsidR="00D174E9" w:rsidRDefault="000F52ED">
      <w:pPr>
        <w:spacing w:after="200"/>
        <w:jc w:val="both"/>
      </w:pPr>
      <w:r>
        <w:t>There is no criminal trial ahead for either family. Because the man died at the scene of the crash he caused, he will never stand in a courtroom, never be convicted, and never be held accountable through any criminal justice process for either the stabbing or the death he caused fleeing it. Two families of children are left carrying the consequences — a mother who survived being stabbed, a mother who did not survive the crash — while the person responsible faces no consequence at all. This is not a reason t</w:t>
      </w:r>
      <w:r>
        <w:t>o look away from family violence as a criminal justice issue; it is a reason the response to it cannot begin and end with the criminal justice system. Prevention, early intervention and community-level accountability are not lesser priorities sitting beside the justice response — for families like these, they were the only accountability that was ever going to be possible.</w:t>
      </w:r>
    </w:p>
    <w:p w14:paraId="6AD8A082" w14:textId="77777777" w:rsidR="00D174E9" w:rsidRDefault="000F52ED">
      <w:pPr>
        <w:spacing w:after="200"/>
        <w:jc w:val="both"/>
      </w:pPr>
      <w:r>
        <w:t>Grace &amp; Grit's own work engaging directly with the House of Representatives Standing Committee inquiry into the relationship between domestic, family and sexual violence and suicide reinforces the same point from a different angle. Tasmanian Government data covering 2012–2020 found that 48% of people who died by suicide in Tasmania had experienced abuse or violence — the most common situational stressor recorded for women who died by suicide in this state, and the second most common overall. Tasmania's age-</w:t>
      </w:r>
      <w:r>
        <w:t>standardised suicide rate, at 14.9 per 100,000 in 2023, sits well above the national rate of 12.0, alongside Tasmania recording the nation's highest rates of intimate partner violence (28.1% compared to 23.3% nationally), cohabiting partner violence (21.6% compared to 16.9%) and cohabiting partner emotional abuse (28.3% compared to 22.9%). Family violence and suicide are not two separate national priorities that happen to share a postcode in Tasmania — the evidence base, and our own submission to that inqui</w:t>
      </w:r>
      <w:r>
        <w:t>ry, show they are the same crisis, showing up in two different sets of statistics.</w:t>
      </w:r>
    </w:p>
    <w:p w14:paraId="13928F5E" w14:textId="77777777" w:rsidR="00D174E9" w:rsidRDefault="000F52ED">
      <w:pPr>
        <w:spacing w:after="200"/>
        <w:jc w:val="both"/>
      </w:pPr>
      <w:r>
        <w:t>Because the harm reaches this far — into bystanders, family members and communities well beyond the relationship itself — prevention cannot be treated as a service-system output alone. It requires bravery: neighbours, colleagues and community members willing to name what they see rather than look away. It requires information: communities that understand what coercive control and escalating risk actually look like, not only crisis services that respond after the fact. It requires training that reaches every</w:t>
      </w:r>
      <w:r>
        <w:t xml:space="preserve"> community setting, not only specialist services. And it requires genuine community leadership — prevention led by the communities living with this reality, backed and resourced by police and key statutory agencies, rather than designed centrally and delivered down to communities as a finished program. Non-profit and community organisations, who are the ones actually doing this work on the ground, must be given a genuine seat at the table in designing and governing this response, not consulted once a plan h</w:t>
      </w:r>
      <w:r>
        <w:t>as already been decided.</w:t>
      </w:r>
    </w:p>
    <w:p w14:paraId="7892D173" w14:textId="77777777" w:rsidR="00D174E9" w:rsidRDefault="000F52ED">
      <w:pPr>
        <w:spacing w:after="200"/>
        <w:jc w:val="both"/>
      </w:pPr>
      <w:r>
        <w:t>We ask that the Second Action Plan recognise family violence prevention as a whole-of-community responsibility requiring bravery, information and training at the community level, not a service system alone, and that community-led prevention be resourced and governed with police and key agencies in a supporting role, and non-profit organisations holding genuine seats at the governance table, not simply invited to comment on decisions already made.</w:t>
      </w:r>
    </w:p>
    <w:p w14:paraId="337A33D8" w14:textId="77777777" w:rsidR="00D174E9" w:rsidRDefault="000F52ED">
      <w:pPr>
        <w:pStyle w:val="Heading2"/>
        <w:spacing w:before="240" w:after="130"/>
      </w:pPr>
      <w:r>
        <w:t>2.10 Child protection systems treat family violence as an add-on, not core business</w:t>
      </w:r>
    </w:p>
    <w:p w14:paraId="7223C41A" w14:textId="77777777" w:rsidR="00D174E9" w:rsidRDefault="000F52ED">
      <w:pPr>
        <w:spacing w:after="200"/>
        <w:jc w:val="both"/>
      </w:pPr>
      <w:r>
        <w:t xml:space="preserve">Family violence is not a peripheral issue for Australia's child protection systems — it is their core business, whether the system is designed to reflect that or not. As already noted in this submission, three-quarters (76%) of filicide cases followed a known history of domestic and family violence. Family violence is consistently the single most common context in child protection notifications nationally. </w:t>
      </w:r>
      <w:r>
        <w:lastRenderedPageBreak/>
        <w:t>And yet family violence practice — recognising coercive control, understanding perpetrator patterns, distinguishing a protective parent's response to danger from a parenting deficit — is not embedded in the core professional development of child safety practitioners. Where it exists at all, it is typically delivered as an optional, specialist add-on training that a worker may or may not receive, rather than a mandatory foundation of the job itself.</w:t>
      </w:r>
    </w:p>
    <w:p w14:paraId="61270318" w14:textId="77777777" w:rsidR="00D174E9" w:rsidRDefault="000F52ED">
      <w:pPr>
        <w:spacing w:after="200"/>
        <w:jc w:val="both"/>
      </w:pPr>
      <w:r>
        <w:t>This is not a minor training gap. It is a structural mismatch between what the child protection workforce is actually asked to assess every working day and what it is actually equipped to recognise. A practitioner who has not been trained to see a perpetrator's pattern of coercive control will default to what is visible and measurable: the mother's presentation, her housing stability, her emotional state, her compliance. This is precisely the dynamic described earlier in this submission under the documentat</w:t>
      </w:r>
      <w:r>
        <w:t>ion gap — child protection systems can end up assessing a mother's "protectiveness" without an accurate record of what she and her children were actually protecting themselves against. When family violence literacy is treated as optional rather than core, ineffective and sometimes actively harmful intervention is not the exception. It is the predictable norm produced by the system's own design.</w:t>
      </w:r>
    </w:p>
    <w:p w14:paraId="30AE8DE8" w14:textId="77777777" w:rsidR="00D174E9" w:rsidRDefault="000F52ED">
      <w:pPr>
        <w:spacing w:after="200"/>
        <w:jc w:val="both"/>
      </w:pPr>
      <w:r>
        <w:t>We recommend the Second Action Plan require that family violence practice — including coercive control recognition and perpetrator pattern-based assessment — be embedded as mandatory, core professional development for all child protection and child safety practitioners nationally, on the same footing as mandatory child development or risk assessment training, not offered as an optional specialist add-on. This complements, and should be delivered alongside, our recommendation elsewhere in this submission (Se</w:t>
      </w:r>
      <w:r>
        <w:t>ction 8.2) that family violence-informed practice be embedded as a mandatory graduation requirement across relevant pre-registration qualifications — the workforce already in the system cannot wait for the next generation of graduates to fix this gap.</w:t>
      </w:r>
    </w:p>
    <w:p w14:paraId="3386BD1F" w14:textId="77777777" w:rsidR="00D174E9" w:rsidRDefault="000F52ED">
      <w:pPr>
        <w:pStyle w:val="Heading2"/>
        <w:spacing w:before="240" w:after="130"/>
      </w:pPr>
      <w:r>
        <w:t>2.11 A civil order is not accountability — the system waits for a breach before it treats a demonstrated pattern of risk as a criminal matter</w:t>
      </w:r>
    </w:p>
    <w:p w14:paraId="53121ECF" w14:textId="77777777" w:rsidR="00D174E9" w:rsidRDefault="000F52ED">
      <w:pPr>
        <w:spacing w:after="200"/>
        <w:jc w:val="both"/>
      </w:pPr>
      <w:r>
        <w:t xml:space="preserve">Australia's protection order system reflects a strange inversion of how demonstrated risk is treated almost everywhere else. A dog with an established pattern of aggressive, escalating behaviour can be declared dangerous, and in the most serious cases destroyed, on the strength of the pattern itself — not after it kills a child. The pattern is treated as sufficient evidence of future risk in its own right. A person who displays the same escalating pattern of coercive control, intimidation and threat toward </w:t>
      </w:r>
      <w:r>
        <w:t>a partner typically receives a Family Violence Order: a civil order, not a criminal one. As Tasmania's own legislation makes explicit, an FVO is not itself a criminal matter — only non-compliance with it is. The order becomes a criminal consequence only once it is breached, and by then, as the Tara Costigan case referenced earlier in this submission shows, the point of service can itself be the point of greatest danger, not the point of resolution.</w:t>
      </w:r>
    </w:p>
    <w:p w14:paraId="7934CF27" w14:textId="77777777" w:rsidR="00D174E9" w:rsidRDefault="000F52ED">
      <w:pPr>
        <w:spacing w:after="200"/>
        <w:jc w:val="both"/>
      </w:pPr>
      <w:r>
        <w:t>Where no order exists at all, the pattern can go entirely unaddressed by any part of the justice system until something "significant" happens. The Farquharson case referenced in Section 2.2 is the clearest illustration: no protection order, no police callout history, and a documented pattern of escalating possessiveness and resentment that was visible to people around him, yet invisible to any system with the power to intervene before three children were dead. A civil order that only escalates into a crimin</w:t>
      </w:r>
      <w:r>
        <w:t>al matter after a breach, and a system with no criminal-level response available at all until a pattern has already produced a police-reportable incident, both share the same underlying design flaw: risk is only treated as real once it has already caused serious harm.</w:t>
      </w:r>
    </w:p>
    <w:p w14:paraId="79FBF0D8" w14:textId="77777777" w:rsidR="00D174E9" w:rsidRDefault="000F52ED">
      <w:pPr>
        <w:spacing w:after="200"/>
        <w:jc w:val="both"/>
      </w:pPr>
      <w:r>
        <w:t xml:space="preserve">We recommend the Second Action Plan require that a demonstrated, escalating pattern of coercive control — documented using a perpetrator pattern-based framework such as Safe &amp; Together, consistent with the national minimum documentation standards recommended in Section 3 — can itself trigger an escalated, criminal-justice-level response, including mandatory referral to an </w:t>
      </w:r>
      <w:r>
        <w:lastRenderedPageBreak/>
        <w:t>accredited behaviour change program and, for high-risk patterns, electronic monitoring, rather than requiring a breach of a civil order or a new criminal act before the system responds with anything beyond a piece of paper.</w:t>
      </w:r>
    </w:p>
    <w:p w14:paraId="51537B0A" w14:textId="77777777" w:rsidR="00D174E9" w:rsidRDefault="000F52ED">
      <w:pPr>
        <w:pStyle w:val="Heading2"/>
        <w:spacing w:before="240" w:after="130"/>
      </w:pPr>
      <w:r>
        <w:t>2.12 Misidentification is not evenly distributed — incident-based policing and socioeconomic stigma compound the risk</w:t>
      </w:r>
    </w:p>
    <w:p w14:paraId="0AA4101E" w14:textId="77777777" w:rsidR="00D174E9" w:rsidRDefault="000F52ED">
      <w:pPr>
        <w:spacing w:after="200"/>
        <w:jc w:val="both"/>
      </w:pPr>
      <w:r>
        <w:t>Tasmania's own family violence sector has already documented what national research increasingly confirms: misidentification of the victim-survivor as the predominant aggressor is not a rare or random error, but a systemic pattern with identifiable causes. Engender Equality's 2022 practitioner research discussion paper on misidentification in Tasmania found the same driver named by practitioners case after case: incident-based policing that responds to what is immediately visible rather than the pattern and</w:t>
      </w:r>
      <w:r>
        <w:t xml:space="preserve"> history of the relationship. As one practitioner described it, officers are "taught at police training and across their careers to go in, investigate...make a decision about whether to charge or not...they've got this process that doesn't allow...for any deeper working out...because they're so incident-based." Practitioners consistently identified a lack of family violence-specific training, and a corresponding lack of skill or confidence in recognising coercive control, as compounding factors — precisely </w:t>
      </w:r>
      <w:r>
        <w:t>the training gap this submission calls to be treated as core, not optional, professional development in Section 2.10.</w:t>
      </w:r>
    </w:p>
    <w:p w14:paraId="530B0E70" w14:textId="77777777" w:rsidR="00D174E9" w:rsidRDefault="000F52ED">
      <w:pPr>
        <w:spacing w:after="200"/>
        <w:jc w:val="both"/>
      </w:pPr>
      <w:r>
        <w:t>The same Tasmanian research identified socioeconomic and "perfect victim" bias as a further, compounding layer of the same problem. One client in a regional community described being told by an attending officer, after calling for help on multiple occasions, "you keep going back to him, you can't be that hard up, can you?" Practitioners separately observed that the consequences of misidentification landed hardest on low-income clients, describing a misidentified client from a low-income background whose chi</w:t>
      </w:r>
      <w:r>
        <w:t xml:space="preserve">ldren were removed and who then faced ongoing police scrutiny, reflecting that "when you're poor, once you've entered the justice system, how are you ever going to get out?" This is consistent with the wider finding that victim-survivors who do not fit a narrow, "racialised, classed and gendered" notion of the ideal victim — women who fight back, present as distressed, use substances, or come from a lower socioeconomic or marginalised background — are misidentified at higher rates than those who present as </w:t>
      </w:r>
      <w:r>
        <w:t>compliant and conventionally sympathetic. A victim-survivor's postcode and presentation should not determine whether she is believed, yet the evidence from Tasmania's own sector shows that, too often, it does.</w:t>
      </w:r>
    </w:p>
    <w:p w14:paraId="6A35B9B9" w14:textId="77777777" w:rsidR="00D174E9" w:rsidRDefault="000F52ED">
      <w:pPr>
        <w:spacing w:after="200"/>
        <w:jc w:val="both"/>
      </w:pPr>
      <w:r>
        <w:t>We recommend the Second Action Plan require mandatory, pattern-based — not incident-based — risk assessment training for all police responding to family violence, developed in partnership with specialist family violence services and directly informed by the lived experience of people who have been misidentified, and that jurisdictions be required to monitor and publicly report misidentification rates disaggregated by socioeconomic status and location, so that this bias can be measured and addressed rather t</w:t>
      </w:r>
      <w:r>
        <w:t>han assumed away.</w:t>
      </w:r>
    </w:p>
    <w:p w14:paraId="2A22E2A6" w14:textId="77777777" w:rsidR="00D174E9" w:rsidRDefault="000F52ED">
      <w:pPr>
        <w:pStyle w:val="Heading1"/>
        <w:pBdr>
          <w:bottom w:val="single" w:sz="6" w:space="6" w:color="0CC0DF"/>
        </w:pBdr>
        <w:spacing w:before="260" w:after="220"/>
      </w:pPr>
      <w:r>
        <w:t>3. The Documentation Gap: Perpetrator Behaviour Is Not Being Recorded</w:t>
      </w:r>
    </w:p>
    <w:p w14:paraId="175DB820" w14:textId="77777777" w:rsidR="00D174E9" w:rsidRDefault="000F52ED">
      <w:pPr>
        <w:spacing w:after="200"/>
        <w:jc w:val="both"/>
      </w:pPr>
      <w:r>
        <w:t>Across Australian service systems, perpetrator behaviour is chronically under-documented. Case notes, risk assessments and referrals overwhelmingly describe the victim-survivor — her presentation, her decisions, her "risk factors" — while the person creating the risk remains largely absent from the written record. This is not a minor administrative issue. It is a structural failure that undermines every downstream response: risk assessment, police response, court outcomes, child protection decisions and per</w:t>
      </w:r>
      <w:r>
        <w:t>petrator accountability all depend on what has been written down, and too often, what should have been written down was not.</w:t>
      </w:r>
    </w:p>
    <w:p w14:paraId="016D517C" w14:textId="77777777" w:rsidR="00D174E9" w:rsidRDefault="000F52ED">
      <w:pPr>
        <w:spacing w:after="200"/>
        <w:jc w:val="both"/>
      </w:pPr>
      <w:r>
        <w:lastRenderedPageBreak/>
        <w:t>This is not only a frontline problem. The same gap exists at the national level. The Second Action Plan is measured against the National Outcomes Framework Performance Measurement Plan, and the DFSV Commission itself has publicly called for expanded statutory powers to gather timely information, data and evidence so it can properly monitor and assess the National Plan's progress and outcomes — a request that would not be necessary if the current data base were adequate. The National Indigenous Australians A</w:t>
      </w:r>
      <w:r>
        <w:t>gency separately confirms there is currently no mechanism to measure implementation progress across all Australian governments under the Closing the Gap Priority Reforms. If the system cannot see whether its own national-level commitments are being met, it is unsurprising that frontline workers cannot see a perpetrator's pattern across agencies. The documentation gap and the outcomes-measurement gap are the same structural failure, showing up at different altitudes.</w:t>
      </w:r>
    </w:p>
    <w:p w14:paraId="59DBBBD1" w14:textId="77777777" w:rsidR="00D174E9" w:rsidRDefault="000F52ED">
      <w:pPr>
        <w:pStyle w:val="Heading2"/>
        <w:spacing w:before="240" w:after="130"/>
      </w:pPr>
      <w:r>
        <w:t>3.1 Why documentation gaps matter</w:t>
      </w:r>
    </w:p>
    <w:p w14:paraId="5DC11C7D" w14:textId="77777777" w:rsidR="00D174E9" w:rsidRDefault="000F52ED">
      <w:pPr>
        <w:spacing w:after="200"/>
        <w:jc w:val="both"/>
      </w:pPr>
      <w:r>
        <w:t>Safe &amp; Together practice is built on a simple but demanding premise: services must document the perpetrator's pattern of coercive and controlling behaviour, not just the presenting incident, and not just the victim-survivor's response to it. Where this does not happen, we see consistent and serious consequences:</w:t>
      </w:r>
    </w:p>
    <w:p w14:paraId="546ECB5D" w14:textId="77777777" w:rsidR="00D174E9" w:rsidRDefault="000F52ED">
      <w:pPr>
        <w:pStyle w:val="ListParagraph"/>
        <w:numPr>
          <w:ilvl w:val="0"/>
          <w:numId w:val="1"/>
        </w:numPr>
        <w:spacing w:after="90"/>
        <w:jc w:val="both"/>
      </w:pPr>
      <w:r>
        <w:t>Patterns are invisible to the next worker, the next agency, and the court. A single incident report, disconnected from prior history, understates risk — including lethality risk — and can mean warning signs are missed until it is too late.</w:t>
      </w:r>
    </w:p>
    <w:p w14:paraId="397C9477" w14:textId="77777777" w:rsidR="00D174E9" w:rsidRDefault="000F52ED">
      <w:pPr>
        <w:pStyle w:val="ListParagraph"/>
        <w:numPr>
          <w:ilvl w:val="0"/>
          <w:numId w:val="1"/>
        </w:numPr>
        <w:spacing w:after="90"/>
        <w:jc w:val="both"/>
      </w:pPr>
      <w:r>
        <w:t>Protection order applications, sentencing processes and parenting proceedings are weakened when there is no consolidated record of a perpetrator's pattern of behaviour over time, forcing victim-survivors to re-prove history the system already had the opportunity to capture.</w:t>
      </w:r>
    </w:p>
    <w:p w14:paraId="7B585F5C" w14:textId="77777777" w:rsidR="00D174E9" w:rsidRDefault="000F52ED">
      <w:pPr>
        <w:pStyle w:val="ListParagraph"/>
        <w:numPr>
          <w:ilvl w:val="0"/>
          <w:numId w:val="1"/>
        </w:numPr>
        <w:spacing w:after="90"/>
        <w:jc w:val="both"/>
      </w:pPr>
      <w:r>
        <w:t>Misidentification of the primary aggressor becomes more likely. Without pattern-based documentation, workers and police are more prone to responding to the most recent or most visible incident, which can result in a victim-survivor being wrongly identified as the aggressor — with serious consequences for her safety, her relationship with her children, and her trust in the system.</w:t>
      </w:r>
    </w:p>
    <w:p w14:paraId="084F4D3A" w14:textId="77777777" w:rsidR="00D174E9" w:rsidRDefault="000F52ED">
      <w:pPr>
        <w:pStyle w:val="ListParagraph"/>
        <w:numPr>
          <w:ilvl w:val="0"/>
          <w:numId w:val="1"/>
        </w:numPr>
        <w:spacing w:after="90"/>
        <w:jc w:val="both"/>
      </w:pPr>
      <w:r>
        <w:t>Children's exposure to a perpetrator's pattern of behaviour is under-recorded, meaning child protection systems can end up assessing a mother's "protectiveness" without an accurate record of what she and her children were actually protecting themselves against.</w:t>
      </w:r>
    </w:p>
    <w:p w14:paraId="655266D6" w14:textId="77777777" w:rsidR="00D174E9" w:rsidRDefault="000F52ED">
      <w:pPr>
        <w:pStyle w:val="ListParagraph"/>
        <w:numPr>
          <w:ilvl w:val="0"/>
          <w:numId w:val="1"/>
        </w:numPr>
        <w:spacing w:after="90"/>
        <w:jc w:val="both"/>
      </w:pPr>
      <w:r>
        <w:t>Opportunities for early intervention and behaviour change are lost, because without documented patterns, perpetrators are not identified early enough to be referred into accountability programs.</w:t>
      </w:r>
    </w:p>
    <w:p w14:paraId="2540057F" w14:textId="77777777" w:rsidR="00D174E9" w:rsidRDefault="000F52ED">
      <w:pPr>
        <w:pStyle w:val="ListParagraph"/>
        <w:numPr>
          <w:ilvl w:val="0"/>
          <w:numId w:val="1"/>
        </w:numPr>
        <w:spacing w:after="90"/>
        <w:jc w:val="both"/>
      </w:pPr>
      <w:r>
        <w:t>The point of legal intervention itself is treated as the point risk has been resolved, when it can be a point of heightened danger. The ACT Coroner's findings into the 2015 murder of Tara Costigan — killed by her former partner the day after she sought a protection order — confirmed that service of a protection order is a recognised trigger for escalation. Systems still default to treating a granted order as the end of the risk period rather than the start of one requiring active, resourced follow-up.</w:t>
      </w:r>
    </w:p>
    <w:p w14:paraId="241FA63D" w14:textId="77777777" w:rsidR="00D174E9" w:rsidRDefault="000F52ED">
      <w:pPr>
        <w:pStyle w:val="Heading2"/>
        <w:spacing w:before="240" w:after="130"/>
      </w:pPr>
      <w:r>
        <w:t>3.2 Why documentation is failing</w:t>
      </w:r>
    </w:p>
    <w:p w14:paraId="6D39487A" w14:textId="77777777" w:rsidR="00D174E9" w:rsidRDefault="000F52ED">
      <w:pPr>
        <w:spacing w:after="200"/>
        <w:jc w:val="both"/>
      </w:pPr>
      <w:r>
        <w:t>Frontline workers are not failing individually — they are working inside systems that do not support pattern-based recording. Common barriers include:</w:t>
      </w:r>
    </w:p>
    <w:p w14:paraId="499E53C0" w14:textId="77777777" w:rsidR="00D174E9" w:rsidRDefault="000F52ED">
      <w:pPr>
        <w:pStyle w:val="ListParagraph"/>
        <w:numPr>
          <w:ilvl w:val="0"/>
          <w:numId w:val="1"/>
        </w:numPr>
        <w:spacing w:after="90"/>
        <w:jc w:val="both"/>
      </w:pPr>
      <w:r>
        <w:t>No shared, nationally consistent framework or set of tools for recording perpetrator behaviour, so practice varies enormously between and within sectors.</w:t>
      </w:r>
    </w:p>
    <w:p w14:paraId="59FFC816" w14:textId="77777777" w:rsidR="00D174E9" w:rsidRDefault="000F52ED">
      <w:pPr>
        <w:pStyle w:val="ListParagraph"/>
        <w:numPr>
          <w:ilvl w:val="0"/>
          <w:numId w:val="1"/>
        </w:numPr>
        <w:spacing w:after="90"/>
        <w:jc w:val="both"/>
      </w:pPr>
      <w:r>
        <w:lastRenderedPageBreak/>
        <w:t>High caseloads and time pressure that push workers toward brief, incident-based notes rather than pattern-based case histories.</w:t>
      </w:r>
    </w:p>
    <w:p w14:paraId="44ABDDF1" w14:textId="77777777" w:rsidR="00D174E9" w:rsidRDefault="000F52ED">
      <w:pPr>
        <w:pStyle w:val="ListParagraph"/>
        <w:numPr>
          <w:ilvl w:val="0"/>
          <w:numId w:val="1"/>
        </w:numPr>
        <w:spacing w:after="90"/>
        <w:jc w:val="both"/>
      </w:pPr>
      <w:r>
        <w:t>Limited training in coercive control and perpetrator pattern recognition, particularly outside specialist DFV services — in universal services such as health, education and generalist housing.</w:t>
      </w:r>
    </w:p>
    <w:p w14:paraId="106E3A40" w14:textId="77777777" w:rsidR="00D174E9" w:rsidRDefault="000F52ED">
      <w:pPr>
        <w:pStyle w:val="ListParagraph"/>
        <w:numPr>
          <w:ilvl w:val="0"/>
          <w:numId w:val="1"/>
        </w:numPr>
        <w:spacing w:after="90"/>
        <w:jc w:val="both"/>
      </w:pPr>
      <w:r>
        <w:t>Siloed case management systems that do not allow information about a perpetrator to follow them across agencies, sectors or jurisdictions.</w:t>
      </w:r>
    </w:p>
    <w:p w14:paraId="6FBD589A" w14:textId="77777777" w:rsidR="00D174E9" w:rsidRDefault="000F52ED">
      <w:pPr>
        <w:pStyle w:val="ListParagraph"/>
        <w:numPr>
          <w:ilvl w:val="0"/>
          <w:numId w:val="1"/>
        </w:numPr>
        <w:spacing w:after="90"/>
        <w:jc w:val="both"/>
      </w:pPr>
      <w:r>
        <w:t>Legal and cultural caution about naming a perpetrator's behaviour in writing, in the absence of clear organisational guidance and support.</w:t>
      </w:r>
    </w:p>
    <w:p w14:paraId="4DFD045B" w14:textId="77777777" w:rsidR="00D174E9" w:rsidRDefault="000F52ED">
      <w:pPr>
        <w:pStyle w:val="Heading2"/>
        <w:spacing w:before="240" w:after="130"/>
      </w:pPr>
      <w:r>
        <w:t>3.3 What good documentation practice looks like</w:t>
      </w:r>
    </w:p>
    <w:p w14:paraId="7E9CECFF" w14:textId="77777777" w:rsidR="00D174E9" w:rsidRDefault="000F52ED">
      <w:pPr>
        <w:spacing w:after="200"/>
        <w:jc w:val="both"/>
      </w:pPr>
      <w:r>
        <w:t>Safe &amp; Together's documentation principles offer a national model that is already tested in practice. They require that records: name the perpetrator's pattern of behaviour, not only isolated incidents; capture the perpetrator's impact on the child and the non-offending parent's protective efforts; distinguish coercive control from victim-survivor "risk behaviours"; and are structured so that information can be shared meaningfully across police, courts, child protection, health and specialist services. Wher</w:t>
      </w:r>
      <w:r>
        <w:t>e Grace &amp; Grit has supported services to adopt this approach, workers report greater clarity, more defensible case notes, and stronger evidence bases for court and case-review processes. In one Tasmanian case, a worker who had previously documented only the mother's presentation and "risk behaviours" began, after Safe &amp; Together training, to name the father's pattern of surveillance, financial control and escalating threats across multiple case notes. The consolidated pattern record was later used by police</w:t>
      </w:r>
      <w:r>
        <w:t xml:space="preserve"> and the court to support a protection order — evidence that, under the previous incident-based documentation, would not have existed in a form anyone could act on.</w:t>
      </w:r>
    </w:p>
    <w:p w14:paraId="653CFFF3" w14:textId="77777777" w:rsidR="00D174E9" w:rsidRDefault="000F52ED">
      <w:pPr>
        <w:spacing w:after="200"/>
        <w:jc w:val="both"/>
      </w:pPr>
      <w:r>
        <w:t>We recommend that the Second Action Plan establish national minimum standards for the documentation of perpetrator behaviour across DFV-relevant service systems, embedded through Safe &amp; Together or an equivalent perpetrator pattern-based framework, and tied to funding and accountability requirements — so that documentation practice is treated as a safety intervention in its own right, not an administrative afterthought.</w:t>
      </w:r>
    </w:p>
    <w:p w14:paraId="7033FD25" w14:textId="77777777" w:rsidR="00D174E9" w:rsidRDefault="000F52ED">
      <w:pPr>
        <w:pStyle w:val="Heading1"/>
        <w:pBdr>
          <w:bottom w:val="single" w:sz="6" w:space="6" w:color="0CC0DF"/>
        </w:pBdr>
        <w:spacing w:before="260" w:after="220"/>
      </w:pPr>
      <w:r>
        <w:t>4. A National Blind Spot: What Happens When the System Is Full</w:t>
      </w:r>
    </w:p>
    <w:p w14:paraId="1583558D" w14:textId="77777777" w:rsidR="00D174E9" w:rsidRDefault="000F52ED">
      <w:pPr>
        <w:spacing w:after="200"/>
        <w:jc w:val="both"/>
      </w:pPr>
      <w:r>
        <w:t>One gap not yet named explicitly enough in national frameworks is what happens to Safe &amp; Together's core commitments when the housing and refuge system cannot absorb demand. Frontline workers routinely ask us: "How can we keep women and children safe when the system is overfull?" This is a systems failure being experienced as a practice failure, and the Second Action Plan has an opportunity to name it as such.</w:t>
      </w:r>
    </w:p>
    <w:p w14:paraId="6A75C548" w14:textId="77777777" w:rsidR="00D174E9" w:rsidRDefault="000F52ED">
      <w:pPr>
        <w:spacing w:after="200"/>
        <w:jc w:val="both"/>
      </w:pPr>
      <w:r>
        <w:t>The data is stark. AIHW's Specialist Homelessness Services data confirms that people who have experienced family and domestic violence are consistently the largest client group accessing homelessness services nationally — around 38% of all clients in 2022–23. The gap is sharpest at the long-term end: of the roughly 108,000 people who identified a need for long-term housing in the most recent years for which data is available, only around 4% were able to access it, meaning the vast majority went without. Nat</w:t>
      </w:r>
      <w:r>
        <w:t>ionally, around 3 in 10 clients who need short-term or emergency accommodation do not have that need met. National reporting shows women and children being placed in motels or left with no viable housing pathway, increasing the likelihood they return to a violent partner because there is nowhere else to go.</w:t>
      </w:r>
    </w:p>
    <w:p w14:paraId="431E4ACD" w14:textId="77777777" w:rsidR="00D174E9" w:rsidRDefault="000F52ED">
      <w:pPr>
        <w:spacing w:after="200"/>
        <w:jc w:val="both"/>
      </w:pPr>
      <w:r>
        <w:t xml:space="preserve">This blind spot is sharper again in regional and island communities, where the gap is not reduced shelter capacity but frequently no shelter at all. Through our work supporting DFV-informed responses </w:t>
      </w:r>
      <w:r>
        <w:lastRenderedPageBreak/>
        <w:t>on King Island and Flinders Island, we see women and children facing a genuine absence of local refuge, meaning "system full" can mean no system at all within reach, and safety planning must account for transport, distance and service withdrawal in ways metropolitan frameworks do not anticipate.</w:t>
      </w:r>
    </w:p>
    <w:p w14:paraId="7C2866AC" w14:textId="77777777" w:rsidR="00D174E9" w:rsidRDefault="000F52ED">
      <w:pPr>
        <w:spacing w:after="200"/>
        <w:jc w:val="both"/>
      </w:pPr>
      <w:r>
        <w:t>A further gap, rarely named explicitly in national frameworks, is that many women's shelters do not accept teenage boys, commonly applying age cut-offs somewhere between 12 and 16 years. A mother fleeing violence with a teenage son can therefore find herself excluded from the very refuge system meant to keep her and her children safe, forced to choose between shelter for herself and her younger children or keeping her family intact, at the exact moment she most needs both. This is not a minor eligibility qu</w:t>
      </w:r>
      <w:r>
        <w:t>irk. It is a structural barrier that can push a mother back toward the person using violence, or force the separation of a family unit at the point of maximum risk, and it falls without warning on families who had no reason to know their son's age would become the barrier to their safety.</w:t>
      </w:r>
    </w:p>
    <w:p w14:paraId="34F7CA46" w14:textId="77777777" w:rsidR="00D174E9" w:rsidRDefault="000F52ED">
      <w:pPr>
        <w:spacing w:after="200"/>
        <w:jc w:val="both"/>
      </w:pPr>
      <w:r>
        <w:t>In practice, this means frontline workers are being asked to safety plan into a vacuum. Safe &amp; Together is clear that when systems are overwhelmed, the risk must never be pushed back onto the victim-survivor or the children. This has direct implications for the Second Action Plan:</w:t>
      </w:r>
    </w:p>
    <w:p w14:paraId="2117A796" w14:textId="77777777" w:rsidR="00D174E9" w:rsidRDefault="000F52ED">
      <w:pPr>
        <w:pStyle w:val="ListParagraph"/>
        <w:numPr>
          <w:ilvl w:val="0"/>
          <w:numId w:val="1"/>
        </w:numPr>
        <w:spacing w:after="90"/>
        <w:jc w:val="both"/>
      </w:pPr>
      <w:r>
        <w:t>Perpetrators must remain named as the source of risk, not her "choices" — practitioners should never be forced into language like "she chose to stay" when the data shows she was turned away or left with no safe housing option.</w:t>
      </w:r>
    </w:p>
    <w:p w14:paraId="2384FC43" w14:textId="77777777" w:rsidR="00D174E9" w:rsidRDefault="000F52ED">
      <w:pPr>
        <w:pStyle w:val="ListParagraph"/>
        <w:numPr>
          <w:ilvl w:val="0"/>
          <w:numId w:val="1"/>
        </w:numPr>
        <w:spacing w:after="90"/>
        <w:jc w:val="both"/>
      </w:pPr>
      <w:r>
        <w:t>System-created risk must be documented — case notes, risk assessments and multi-agency meetings should explicitly record where refuge or housing was unavailable, that she attempted to seek help, and that the perpetrator's pattern of behaviour continues in a context of system failure.</w:t>
      </w:r>
    </w:p>
    <w:p w14:paraId="3FCE56DA" w14:textId="77777777" w:rsidR="00D174E9" w:rsidRDefault="000F52ED">
      <w:pPr>
        <w:pStyle w:val="ListParagraph"/>
        <w:numPr>
          <w:ilvl w:val="0"/>
          <w:numId w:val="1"/>
        </w:numPr>
        <w:spacing w:after="90"/>
        <w:jc w:val="both"/>
      </w:pPr>
      <w:r>
        <w:t>Responsibility for safety must be shared across systems — police, courts, child protection, housing, health and specialist services all hold pieces of perpetrator accountability and safety; it cannot rest with one overwhelmed service.</w:t>
      </w:r>
    </w:p>
    <w:p w14:paraId="69E6D218" w14:textId="77777777" w:rsidR="00D174E9" w:rsidRDefault="000F52ED">
      <w:pPr>
        <w:pStyle w:val="ListParagraph"/>
        <w:numPr>
          <w:ilvl w:val="0"/>
          <w:numId w:val="1"/>
        </w:numPr>
        <w:spacing w:after="90"/>
        <w:jc w:val="both"/>
      </w:pPr>
      <w:r>
        <w:t>Her relationship with her children must be protected — when housing and support are unavailable, child protection systems must not penalise her for "failure to protect" in a context where the state has failed to provide safety.</w:t>
      </w:r>
    </w:p>
    <w:p w14:paraId="5716C7F2" w14:textId="77777777" w:rsidR="00D174E9" w:rsidRDefault="000F52ED">
      <w:pPr>
        <w:pStyle w:val="ListParagraph"/>
        <w:numPr>
          <w:ilvl w:val="0"/>
          <w:numId w:val="1"/>
        </w:numPr>
        <w:spacing w:after="90"/>
        <w:jc w:val="both"/>
      </w:pPr>
      <w:r>
        <w:t>Family units must not be split by shelter age policy as a default — a national refuge model must be funded and designed to accommodate teenage boys alongside their mothers and siblings, rather than requiring a mother to leave a son behind or forgo shelter altogether.</w:t>
      </w:r>
    </w:p>
    <w:p w14:paraId="200177F7" w14:textId="77777777" w:rsidR="00D174E9" w:rsidRDefault="000F52ED">
      <w:pPr>
        <w:spacing w:after="200"/>
        <w:jc w:val="both"/>
      </w:pPr>
      <w:r>
        <w:t>We ask that the Second Action Plan explicitly acknowledge system-created risk, commit to funding housing and refuge as core safety infrastructure rather than an add-on, and require agencies to evidence how they are holding perpetrators — not victim-survivors — accountable when the system cannot meet demand.</w:t>
      </w:r>
    </w:p>
    <w:p w14:paraId="73640B87" w14:textId="77777777" w:rsidR="00D174E9" w:rsidRDefault="000F52ED">
      <w:pPr>
        <w:pStyle w:val="Heading1"/>
        <w:pBdr>
          <w:bottom w:val="single" w:sz="6" w:space="6" w:color="0CC0DF"/>
        </w:pBdr>
        <w:spacing w:before="260" w:after="220"/>
      </w:pPr>
      <w:r>
        <w:t>5. The Navigation Gap: Too Many Doors, No Map</w:t>
      </w:r>
    </w:p>
    <w:p w14:paraId="601B4136" w14:textId="77777777" w:rsidR="00D174E9" w:rsidRDefault="000F52ED">
      <w:pPr>
        <w:spacing w:after="200"/>
        <w:jc w:val="both"/>
      </w:pPr>
      <w:r>
        <w:t xml:space="preserve">A victim-survivor in the midst of family violence is routinely expected to do something we would not expect of a well-resourced professional under normal conditions: independently discover, assess eligibility for, and separately approach a sprawling and uncoordinated landscape of services — while she is fatigued, frightened, financially controlled, and often managing children at the same time. This is not a minor access friction. It is a structural design failure that falls hardest at precisely the point a </w:t>
      </w:r>
      <w:r>
        <w:t>person has the least capacity to carry it.</w:t>
      </w:r>
    </w:p>
    <w:p w14:paraId="10A1A889" w14:textId="77777777" w:rsidR="00D174E9" w:rsidRDefault="000F52ED">
      <w:pPr>
        <w:spacing w:after="200"/>
        <w:jc w:val="both"/>
      </w:pPr>
      <w:r>
        <w:t xml:space="preserve">The landscape she is expected to navigate spans multiple, entirely disconnected systems of entry. Telstra's Safe Connections program provides free mobile phones and connectivity to people </w:t>
      </w:r>
      <w:r>
        <w:lastRenderedPageBreak/>
        <w:t>experiencing domestic and family violence, but sits inside corporate social responsibility infrastructure, not the specialist FSV referral system. The Salvation Army delivers family violence support, financial counselling and material aid through its own distinct intake and eligibility pathways. Tasmania's Engender Equality delivers specialist family violence support, counselling and behaviour-change work through its own referral system again. Layered over the top are 1800RESPECT, state-based crisis coordin</w:t>
      </w:r>
      <w:r>
        <w:t>ation equivalents to Safe at Home, legal aid, Centrelink social workers, financial counselling services, and general community services — each independently funded, independently governed, using different language, different forms, and different definitions of who qualifies for what. Nowhere does a single, well-publicised point of contact exist that can see across all of these and say, plainly, "here is what you're eligible for, and here is how to get it."</w:t>
      </w:r>
    </w:p>
    <w:p w14:paraId="24CB432C" w14:textId="77777777" w:rsidR="00D174E9" w:rsidRDefault="000F52ED">
      <w:pPr>
        <w:spacing w:after="200"/>
        <w:jc w:val="both"/>
      </w:pPr>
      <w:r>
        <w:t>This matters because the practical consequence is not a minor inconvenience but a further, compounding barrier to safety. A woman may find her way to one service and never learn that a free phone, emergency financial assistance, or specialist behaviour-change support for her former partner was available through a completely different door she never knew existed. Corporate and philanthropic programs such as Telstra's are a particular blind spot: because they sit outside government-community sector coordinati</w:t>
      </w:r>
      <w:r>
        <w:t>on frameworks entirely, mainstream FSV workers themselves are often unaware of what these programs offer or how to refer into them, meaning the gap exists on both sides of the relationship, not only for the victim-survivor trying to find help.</w:t>
      </w:r>
    </w:p>
    <w:p w14:paraId="24DCB9B1" w14:textId="77777777" w:rsidR="00D174E9" w:rsidRDefault="000F52ED">
      <w:pPr>
        <w:spacing w:after="200"/>
        <w:jc w:val="both"/>
      </w:pPr>
      <w:r>
        <w:t>The navigation problem is compounded by a trust problem in the single service every victim-survivor is most likely to already know: 1800RESPECT itself, the national front door actively promoted as the safe first call. News.com.au reporting in March 2026 confirmed that private records held by 1800RESPECT — the government-funded national service, delivered by Telstra Health — are being successfully subpoenaed by perpetrators on a weekly basis, and that an independent review into the service commissioned by th</w:t>
      </w:r>
      <w:r>
        <w:t>e Department of Social Services in 2025 identified further issues that were never publicly released. Academic reporting in The Conversation the same month confirmed that, unlike most specialist sexual assault services, which resist subpoenas for counselling records as a matter of policy, 1800RESPECT does not. 1800RESPECT's own published privacy material confirms it will produce case notes, transcripts and call recordings in response to a subpoena, generally within five working days of receiving the required</w:t>
      </w:r>
      <w:r>
        <w:t xml:space="preserve"> documentation. A victim-survivor who has been told to call 1800RESPECT, and who does so believing what she says will stay confidential, has no straightforward way of knowing that her call notes could end up in her perpetrator's lawyer's hands months later. We recommend the Second Action Plan require 1800RESPECT, and any nationally branded crisis line funded under it, to adopt the same subpoena-resistance policy already standard practice across most specialist sexual assault services, and to publicly releas</w:t>
      </w:r>
      <w:r>
        <w:t>e the outcome of the 2025 independent review the Department of Social Services has so far declined to disclose.</w:t>
      </w:r>
    </w:p>
    <w:p w14:paraId="42CC7273" w14:textId="77777777" w:rsidR="00D174E9" w:rsidRDefault="000F52ED">
      <w:pPr>
        <w:spacing w:after="200"/>
        <w:jc w:val="both"/>
      </w:pPr>
      <w:r>
        <w:t>This compounds every other barrier named elsewhere in this submission. It falls hardest on victim-survivors already carrying the highest additional load — people with disability, people from culturally and linguistically diverse backgrounds navigating this in a second language, people in rural and remote communities without reliable internet access to even search for what exists, and people whose cognitive capacity is, entirely reasonably, consumed by immediate safety and survival rather than service-system</w:t>
      </w:r>
      <w:r>
        <w:t xml:space="preserve"> literacy. The Family Justice Center model referenced in Section 7.1 — where a victim-survivor tells her story once rather than repeating it across agencies — addresses part of this problem, but co-location alone does not solve it if the corporate, philanthropic and community programs sitting outside the specialist sector are never connected to that single point of contact in the first place.</w:t>
      </w:r>
    </w:p>
    <w:p w14:paraId="384F73A1" w14:textId="77777777" w:rsidR="00D174E9" w:rsidRDefault="000F52ED">
      <w:pPr>
        <w:spacing w:after="200"/>
        <w:jc w:val="both"/>
      </w:pPr>
      <w:r>
        <w:t xml:space="preserve">We ask that the Second Action Plan go further than funding another awareness campaign about existing services, which places the burden of discovery back on the victim-survivor. What is needed is a genuinely coordinated, single point of entry — regardless of which door a person happens to find first — that is resourced and mandated to see across government, specialist FSV, and corporate or </w:t>
      </w:r>
      <w:r>
        <w:lastRenderedPageBreak/>
        <w:t>philanthropic support programs alike, and to actively connect a victim-survivor to everything she is eligible for, rather than only what the one service she happened to contact can itself provide.</w:t>
      </w:r>
    </w:p>
    <w:p w14:paraId="5B13B6C3" w14:textId="77777777" w:rsidR="00D174E9" w:rsidRDefault="000F52ED">
      <w:pPr>
        <w:spacing w:after="200"/>
        <w:jc w:val="both"/>
      </w:pPr>
      <w:r>
        <w:t>Australia does not need to invent this model from scratch either. Victoria's Orange Door network — its Support and Safety Hubs — already demonstrates what a funded, government-backed single entry and triage point can look like in practice: one contact point that assesses need and actively connects a person to family violence, family and child services, rather than requiring her to already know which of dozens of separate services to approach. We recommend the Second Action Plan fund and roll out a nationall</w:t>
      </w:r>
      <w:r>
        <w:t>y consistent version of this model in every state and territory, resourced at a level equivalent to Victoria's investment in the Orange Door network, and explicitly extended to include triage and warm referral into corporate and philanthropic programs (such as Telstra's Safe Connections) that currently sit entirely outside this kind of coordinated intake.</w:t>
      </w:r>
    </w:p>
    <w:p w14:paraId="1E57376D" w14:textId="77777777" w:rsidR="00D174E9" w:rsidRDefault="000F52ED">
      <w:pPr>
        <w:pStyle w:val="Heading1"/>
        <w:pBdr>
          <w:bottom w:val="single" w:sz="6" w:space="6" w:color="0CC0DF"/>
        </w:pBdr>
        <w:spacing w:before="260" w:after="220"/>
      </w:pPr>
      <w:r>
        <w:t>6. Grace &amp; Grit's Recommendations by Priority Area</w:t>
      </w:r>
    </w:p>
    <w:p w14:paraId="12F6093F" w14:textId="77777777" w:rsidR="00D174E9" w:rsidRDefault="000F52ED">
      <w:pPr>
        <w:pStyle w:val="Heading2"/>
        <w:spacing w:before="240" w:after="130"/>
      </w:pPr>
      <w:r>
        <w:t>Priority Area 1: Victim-Survivors</w:t>
      </w:r>
    </w:p>
    <w:p w14:paraId="03CD75A8" w14:textId="77777777" w:rsidR="00D174E9" w:rsidRDefault="000F52ED">
      <w:pPr>
        <w:pStyle w:val="ListParagraph"/>
        <w:numPr>
          <w:ilvl w:val="0"/>
          <w:numId w:val="1"/>
        </w:numPr>
        <w:spacing w:after="90"/>
        <w:jc w:val="both"/>
      </w:pPr>
      <w:r>
        <w:t>A national domestic, family and sexual violence-informed practice framework.</w:t>
      </w:r>
    </w:p>
    <w:p w14:paraId="7C27513F" w14:textId="77777777" w:rsidR="00D174E9" w:rsidRDefault="000F52ED">
      <w:pPr>
        <w:pStyle w:val="ListParagraph"/>
        <w:numPr>
          <w:ilvl w:val="0"/>
          <w:numId w:val="1"/>
        </w:numPr>
        <w:spacing w:after="90"/>
        <w:jc w:val="both"/>
      </w:pPr>
      <w:r>
        <w:t>Consistent perpetrator pattern-based risk assessment across jurisdictions.</w:t>
      </w:r>
    </w:p>
    <w:p w14:paraId="0B64C5F7" w14:textId="77777777" w:rsidR="00D174E9" w:rsidRDefault="000F52ED">
      <w:pPr>
        <w:pStyle w:val="ListParagraph"/>
        <w:numPr>
          <w:ilvl w:val="0"/>
          <w:numId w:val="1"/>
        </w:numPr>
        <w:spacing w:after="90"/>
        <w:jc w:val="both"/>
      </w:pPr>
      <w:r>
        <w:t>Safe reporting pathways for victim-survivors when the perpetrator is a police officer, backed by an independent, externally-chaired review mechanism in every state and territory police force — modelled on Tasmania's existing Family and Sexual Violence Involving Police Policy — with outcomes reported nationally and consistently.</w:t>
      </w:r>
    </w:p>
    <w:p w14:paraId="340B53BF" w14:textId="77777777" w:rsidR="00D174E9" w:rsidRDefault="000F52ED">
      <w:pPr>
        <w:pStyle w:val="ListParagraph"/>
        <w:numPr>
          <w:ilvl w:val="0"/>
          <w:numId w:val="1"/>
        </w:numPr>
        <w:spacing w:after="90"/>
        <w:jc w:val="both"/>
      </w:pPr>
      <w:r>
        <w:t>Culturally safe responses for Aboriginal and Torres Strait Islander women and children.</w:t>
      </w:r>
    </w:p>
    <w:p w14:paraId="31989703" w14:textId="77777777" w:rsidR="00D174E9" w:rsidRDefault="000F52ED">
      <w:pPr>
        <w:pStyle w:val="ListParagraph"/>
        <w:numPr>
          <w:ilvl w:val="0"/>
          <w:numId w:val="1"/>
        </w:numPr>
        <w:spacing w:after="90"/>
        <w:jc w:val="both"/>
      </w:pPr>
      <w:r>
        <w:t>Child-centred practice embedded nationally.</w:t>
      </w:r>
    </w:p>
    <w:p w14:paraId="45E612A6" w14:textId="77777777" w:rsidR="00D174E9" w:rsidRDefault="000F52ED">
      <w:pPr>
        <w:pStyle w:val="ListParagraph"/>
        <w:numPr>
          <w:ilvl w:val="0"/>
          <w:numId w:val="1"/>
        </w:numPr>
        <w:spacing w:after="90"/>
        <w:jc w:val="both"/>
      </w:pPr>
      <w:r>
        <w:t>National minimum standards for documenting perpetrator behaviour, to reduce misidentification and strengthen the evidence available to courts and case reviews.</w:t>
      </w:r>
    </w:p>
    <w:p w14:paraId="26664BDD" w14:textId="77777777" w:rsidR="00D174E9" w:rsidRDefault="000F52ED">
      <w:pPr>
        <w:pStyle w:val="ListParagraph"/>
        <w:numPr>
          <w:ilvl w:val="0"/>
          <w:numId w:val="1"/>
        </w:numPr>
        <w:spacing w:after="90"/>
        <w:jc w:val="both"/>
      </w:pPr>
      <w:r>
        <w:t>Formal treatment of protection order service and notification as a heightened-risk period requiring active, resourced follow-up, not the point at which risk is considered resolved.</w:t>
      </w:r>
    </w:p>
    <w:p w14:paraId="3D7923CB" w14:textId="77777777" w:rsidR="00D174E9" w:rsidRDefault="000F52ED">
      <w:pPr>
        <w:pStyle w:val="ListParagraph"/>
        <w:numPr>
          <w:ilvl w:val="0"/>
          <w:numId w:val="1"/>
        </w:numPr>
        <w:spacing w:after="90"/>
        <w:jc w:val="both"/>
      </w:pPr>
      <w:r>
        <w:t>Legislative reform so that a demonstrated, escalating pattern of coercive control can itself trigger an escalated, criminal-justice-level response — including mandatory behaviour change program referral and, for high-risk patterns, electronic monitoring — rather than requiring a breach of a civil order, or a new criminal act, before the system responds with anything beyond a piece of paper.</w:t>
      </w:r>
    </w:p>
    <w:p w14:paraId="6B5EF9A9" w14:textId="77777777" w:rsidR="00D174E9" w:rsidRDefault="000F52ED">
      <w:pPr>
        <w:pStyle w:val="ListParagraph"/>
        <w:numPr>
          <w:ilvl w:val="0"/>
          <w:numId w:val="1"/>
        </w:numPr>
        <w:spacing w:after="90"/>
        <w:jc w:val="both"/>
      </w:pPr>
      <w:r>
        <w:t>Mandatory, pattern-based risk assessment training for all police responding to family violence, co-designed with specialist services and lived experience of misidentification, with jurisdictions required to monitor and publicly report misidentification rates disaggregated by socioeconomic status and location.</w:t>
      </w:r>
    </w:p>
    <w:p w14:paraId="359CBD35" w14:textId="77777777" w:rsidR="00D174E9" w:rsidRDefault="000F52ED">
      <w:pPr>
        <w:pStyle w:val="ListParagraph"/>
        <w:numPr>
          <w:ilvl w:val="0"/>
          <w:numId w:val="1"/>
        </w:numPr>
        <w:spacing w:after="90"/>
        <w:jc w:val="both"/>
      </w:pPr>
      <w:r>
        <w:t>Cross-agency infrastructure connecting tax, Centrelink, child support, corporate and family law systems, so financial and administrative abuse is recognised as a connected pattern rather than assessed separately by each agency.</w:t>
      </w:r>
    </w:p>
    <w:p w14:paraId="59137AFC" w14:textId="77777777" w:rsidR="00D174E9" w:rsidRDefault="000F52ED">
      <w:pPr>
        <w:pStyle w:val="ListParagraph"/>
        <w:numPr>
          <w:ilvl w:val="0"/>
          <w:numId w:val="1"/>
        </w:numPr>
        <w:spacing w:after="90"/>
        <w:jc w:val="both"/>
      </w:pPr>
      <w:r>
        <w:t>Dedicated sexual violence prevalence, service-access and funding indicators, reported separately from DFV measures, so sexual violence cannot disappear inside a shared acronym.</w:t>
      </w:r>
    </w:p>
    <w:p w14:paraId="5B62027E" w14:textId="77777777" w:rsidR="00D174E9" w:rsidRDefault="000F52ED">
      <w:pPr>
        <w:pStyle w:val="ListParagraph"/>
        <w:numPr>
          <w:ilvl w:val="0"/>
          <w:numId w:val="1"/>
        </w:numPr>
        <w:spacing w:after="90"/>
        <w:jc w:val="both"/>
      </w:pPr>
      <w:r>
        <w:t>A nationally consistent, properly resourced Domestic Violence Disclosure Scheme, scaled from South Australia's existing model.</w:t>
      </w:r>
    </w:p>
    <w:p w14:paraId="5A0679A8" w14:textId="77777777" w:rsidR="00D174E9" w:rsidRDefault="000F52ED">
      <w:pPr>
        <w:pStyle w:val="ListParagraph"/>
        <w:numPr>
          <w:ilvl w:val="0"/>
          <w:numId w:val="1"/>
        </w:numPr>
        <w:spacing w:after="90"/>
        <w:jc w:val="both"/>
      </w:pPr>
      <w:r>
        <w:t xml:space="preserve">A single, resourced, actively coordinated point of entry that connects victim-survivors across government, specialist FSV, and corporate or philanthropic support programs (such as </w:t>
      </w:r>
      <w:r>
        <w:lastRenderedPageBreak/>
        <w:t>Telstra's Safe Connections), funded nationally at a level equivalent to Victoria's Orange Door network, so eligibility and access do not depend on which door a person happens to find first.</w:t>
      </w:r>
    </w:p>
    <w:p w14:paraId="457612B9" w14:textId="77777777" w:rsidR="00D174E9" w:rsidRDefault="000F52ED">
      <w:pPr>
        <w:pStyle w:val="ListParagraph"/>
        <w:numPr>
          <w:ilvl w:val="0"/>
          <w:numId w:val="1"/>
        </w:numPr>
        <w:spacing w:after="90"/>
        <w:jc w:val="both"/>
      </w:pPr>
      <w:r>
        <w:t>A national refuge and shelter model that guarantees coverage in regional and remote communities currently served by no shelter at all, and that is funded and designed to accommodate teenage boys alongside their mothers and siblings, rather than defaulting to age cut-offs that split families apart at the point of crisis.</w:t>
      </w:r>
    </w:p>
    <w:p w14:paraId="5DB9243D" w14:textId="77777777" w:rsidR="00D174E9" w:rsidRDefault="000F52ED">
      <w:pPr>
        <w:pStyle w:val="ListParagraph"/>
        <w:numPr>
          <w:ilvl w:val="0"/>
          <w:numId w:val="1"/>
        </w:numPr>
        <w:spacing w:after="90"/>
        <w:jc w:val="both"/>
      </w:pPr>
      <w:r>
        <w:t>A structured, resourced victim-survivor lived-experience advisory mechanism embedded in the governance of the Second Action Plan itself, consistent with the Safe &amp; Together principle of believing and working with victim-survivors as partners, so that victim-survivors are central participants in designing and reviewing the reforms intended for them — not consulted once and then designed around.</w:t>
      </w:r>
    </w:p>
    <w:p w14:paraId="22B01A9E" w14:textId="77777777" w:rsidR="00D174E9" w:rsidRDefault="000F52ED">
      <w:pPr>
        <w:pStyle w:val="ListParagraph"/>
        <w:numPr>
          <w:ilvl w:val="0"/>
          <w:numId w:val="1"/>
        </w:numPr>
        <w:spacing w:after="90"/>
        <w:jc w:val="both"/>
      </w:pPr>
      <w:r>
        <w:t>A mandatory subpoena-resistance policy for 1800RESPECT and any nationally branded crisis line funded under it, matching the standard already followed by most specialist sexual assault services, and public release of the 2025 independent review into 1800RESPECT that the Department of Social Services has so far declined to disclose.</w:t>
      </w:r>
    </w:p>
    <w:p w14:paraId="58F9ECCC" w14:textId="77777777" w:rsidR="00D174E9" w:rsidRDefault="000F52ED">
      <w:pPr>
        <w:pStyle w:val="Heading2"/>
        <w:spacing w:before="240" w:after="130"/>
      </w:pPr>
      <w:r>
        <w:t>Priority Area 2: Prevention and Early Intervention</w:t>
      </w:r>
    </w:p>
    <w:p w14:paraId="06FE404E" w14:textId="77777777" w:rsidR="00D174E9" w:rsidRDefault="000F52ED">
      <w:pPr>
        <w:pStyle w:val="ListParagraph"/>
        <w:numPr>
          <w:ilvl w:val="0"/>
          <w:numId w:val="1"/>
        </w:numPr>
        <w:spacing w:after="90"/>
        <w:jc w:val="both"/>
      </w:pPr>
      <w:r>
        <w:t>National domestic and family violence-informed school-based programs.</w:t>
      </w:r>
    </w:p>
    <w:p w14:paraId="62F59CEB" w14:textId="77777777" w:rsidR="00D174E9" w:rsidRDefault="000F52ED">
      <w:pPr>
        <w:pStyle w:val="ListParagraph"/>
        <w:numPr>
          <w:ilvl w:val="0"/>
          <w:numId w:val="1"/>
        </w:numPr>
        <w:spacing w:after="90"/>
        <w:jc w:val="both"/>
      </w:pPr>
      <w:r>
        <w:t>Early intervention for boys and young men exposed to violence.</w:t>
      </w:r>
    </w:p>
    <w:p w14:paraId="0391C023" w14:textId="77777777" w:rsidR="00D174E9" w:rsidRDefault="000F52ED">
      <w:pPr>
        <w:pStyle w:val="ListParagraph"/>
        <w:numPr>
          <w:ilvl w:val="0"/>
          <w:numId w:val="1"/>
        </w:numPr>
        <w:spacing w:after="90"/>
        <w:jc w:val="both"/>
      </w:pPr>
      <w:r>
        <w:t>Integration with mental health, alcohol and other drug, and gambling services.</w:t>
      </w:r>
    </w:p>
    <w:p w14:paraId="0984AD40" w14:textId="77777777" w:rsidR="00D174E9" w:rsidRDefault="000F52ED">
      <w:pPr>
        <w:pStyle w:val="ListParagraph"/>
        <w:numPr>
          <w:ilvl w:val="0"/>
          <w:numId w:val="1"/>
        </w:numPr>
        <w:spacing w:after="90"/>
        <w:jc w:val="both"/>
      </w:pPr>
      <w:r>
        <w:t>Community-led prevention for Aboriginal and Torres Strait Islander communities.</w:t>
      </w:r>
    </w:p>
    <w:p w14:paraId="41F71C02" w14:textId="77777777" w:rsidR="00D174E9" w:rsidRDefault="000F52ED">
      <w:pPr>
        <w:pStyle w:val="ListParagraph"/>
        <w:numPr>
          <w:ilvl w:val="0"/>
          <w:numId w:val="1"/>
        </w:numPr>
        <w:spacing w:after="90"/>
        <w:jc w:val="both"/>
      </w:pPr>
      <w:r>
        <w:t>Community-led prevention models more broadly — resourced with information, training and bravery-building support for the whole community, not only specialist services — backed by police and key statutory agencies, with non-profit and community organisations holding genuine governance seats rather than token consultation.</w:t>
      </w:r>
    </w:p>
    <w:p w14:paraId="3FFA5590" w14:textId="77777777" w:rsidR="00D174E9" w:rsidRDefault="000F52ED">
      <w:pPr>
        <w:pStyle w:val="ListParagraph"/>
        <w:numPr>
          <w:ilvl w:val="0"/>
          <w:numId w:val="1"/>
        </w:numPr>
        <w:spacing w:after="90"/>
        <w:jc w:val="both"/>
      </w:pPr>
      <w:r>
        <w:t>A national program of work with media organisations and the Australian Press Council to establish and actively monitor consistent, accurate naming standards for family violence reporting, building on existing Our Watch guidelines that are inconsistently followed, so incidents are named as family violence rather than reported as disconnected, de-labelled events.</w:t>
      </w:r>
    </w:p>
    <w:p w14:paraId="01B1512E" w14:textId="77777777" w:rsidR="00D174E9" w:rsidRDefault="000F52ED">
      <w:pPr>
        <w:pStyle w:val="Heading2"/>
        <w:spacing w:before="240" w:after="130"/>
      </w:pPr>
      <w:r>
        <w:t>Priority Area 3: Children and Young People</w:t>
      </w:r>
    </w:p>
    <w:p w14:paraId="0A83F95A" w14:textId="77777777" w:rsidR="00D174E9" w:rsidRDefault="000F52ED">
      <w:pPr>
        <w:pStyle w:val="ListParagraph"/>
        <w:numPr>
          <w:ilvl w:val="0"/>
          <w:numId w:val="1"/>
        </w:numPr>
        <w:spacing w:after="90"/>
        <w:jc w:val="both"/>
      </w:pPr>
      <w:r>
        <w:t>A national youth domestic and family violence strategy.</w:t>
      </w:r>
    </w:p>
    <w:p w14:paraId="0401A88D" w14:textId="77777777" w:rsidR="00D174E9" w:rsidRDefault="000F52ED">
      <w:pPr>
        <w:pStyle w:val="ListParagraph"/>
        <w:numPr>
          <w:ilvl w:val="0"/>
          <w:numId w:val="1"/>
        </w:numPr>
        <w:spacing w:after="90"/>
        <w:jc w:val="both"/>
      </w:pPr>
      <w:r>
        <w:t>Adolescent behaviour-change programs, currently almost entirely absent nationally.</w:t>
      </w:r>
    </w:p>
    <w:p w14:paraId="4EABCBD4" w14:textId="77777777" w:rsidR="00D174E9" w:rsidRDefault="000F52ED">
      <w:pPr>
        <w:pStyle w:val="ListParagraph"/>
        <w:numPr>
          <w:ilvl w:val="0"/>
          <w:numId w:val="1"/>
        </w:numPr>
        <w:spacing w:after="90"/>
        <w:jc w:val="both"/>
      </w:pPr>
      <w:r>
        <w:t>Domestic and family violence-informed education and youth justice systems.</w:t>
      </w:r>
    </w:p>
    <w:p w14:paraId="2FB771D1" w14:textId="77777777" w:rsidR="00D174E9" w:rsidRDefault="000F52ED">
      <w:pPr>
        <w:pStyle w:val="ListParagraph"/>
        <w:numPr>
          <w:ilvl w:val="0"/>
          <w:numId w:val="1"/>
        </w:numPr>
        <w:spacing w:after="90"/>
        <w:jc w:val="both"/>
      </w:pPr>
      <w:r>
        <w:t>Child-centred practice embedded nationally across all child and family systems.</w:t>
      </w:r>
    </w:p>
    <w:p w14:paraId="2B961DCB" w14:textId="77777777" w:rsidR="00D174E9" w:rsidRDefault="000F52ED">
      <w:pPr>
        <w:pStyle w:val="ListParagraph"/>
        <w:numPr>
          <w:ilvl w:val="0"/>
          <w:numId w:val="1"/>
        </w:numPr>
        <w:spacing w:after="90"/>
        <w:jc w:val="both"/>
      </w:pPr>
      <w:r>
        <w:t>A structured, resourced children and young people's advisory mechanism for DFV policy, modelled on genuine co-design examples such as the Children in All Policies 2030 Youth Advisory Board, rather than one-off or tokenistic consultation.</w:t>
      </w:r>
    </w:p>
    <w:p w14:paraId="3901B76F" w14:textId="77777777" w:rsidR="00D174E9" w:rsidRDefault="000F52ED">
      <w:pPr>
        <w:pStyle w:val="ListParagraph"/>
        <w:numPr>
          <w:ilvl w:val="0"/>
          <w:numId w:val="1"/>
        </w:numPr>
        <w:spacing w:after="90"/>
        <w:jc w:val="both"/>
      </w:pPr>
      <w:r>
        <w:t>Explicit coordination between the new national child sexual abuse information and referral service (under the National Strategy) and DFV-context child protection and documentation processes, so families are not triaged across disconnected national systems.</w:t>
      </w:r>
    </w:p>
    <w:p w14:paraId="11E6EA21" w14:textId="77777777" w:rsidR="00D174E9" w:rsidRDefault="000F52ED">
      <w:pPr>
        <w:pStyle w:val="ListParagraph"/>
        <w:numPr>
          <w:ilvl w:val="0"/>
          <w:numId w:val="1"/>
        </w:numPr>
        <w:spacing w:after="90"/>
        <w:jc w:val="both"/>
      </w:pPr>
      <w:r>
        <w:t>Mandatory, core professional development in family violence practice — including coercive control recognition and perpetrator pattern-based assessment — for all child protection and child safety practitioners nationally, not an optional specialist add-on to existing training.</w:t>
      </w:r>
    </w:p>
    <w:p w14:paraId="62B0AE6E" w14:textId="77777777" w:rsidR="00D174E9" w:rsidRDefault="000F52ED">
      <w:pPr>
        <w:pStyle w:val="Heading2"/>
        <w:spacing w:before="240" w:after="130"/>
      </w:pPr>
      <w:r>
        <w:lastRenderedPageBreak/>
        <w:t>Priority Area 4: People Who Use Violence</w:t>
      </w:r>
    </w:p>
    <w:p w14:paraId="2F20A5E0" w14:textId="77777777" w:rsidR="00D174E9" w:rsidRDefault="000F52ED">
      <w:pPr>
        <w:pStyle w:val="ListParagraph"/>
        <w:numPr>
          <w:ilvl w:val="0"/>
          <w:numId w:val="1"/>
        </w:numPr>
        <w:spacing w:after="90"/>
        <w:jc w:val="both"/>
      </w:pPr>
      <w:r>
        <w:t>A national perpetrator intervention framework.</w:t>
      </w:r>
    </w:p>
    <w:p w14:paraId="12885C24" w14:textId="77777777" w:rsidR="00D174E9" w:rsidRDefault="000F52ED">
      <w:pPr>
        <w:pStyle w:val="ListParagraph"/>
        <w:numPr>
          <w:ilvl w:val="0"/>
          <w:numId w:val="1"/>
        </w:numPr>
        <w:spacing w:after="90"/>
        <w:jc w:val="both"/>
      </w:pPr>
      <w:r>
        <w:t>Caring Dads and Walking with Dads scaled nationally.</w:t>
      </w:r>
    </w:p>
    <w:p w14:paraId="14439BC9" w14:textId="77777777" w:rsidR="00D174E9" w:rsidRDefault="000F52ED">
      <w:pPr>
        <w:pStyle w:val="ListParagraph"/>
        <w:numPr>
          <w:ilvl w:val="0"/>
          <w:numId w:val="1"/>
        </w:numPr>
        <w:spacing w:after="90"/>
        <w:jc w:val="both"/>
      </w:pPr>
      <w:r>
        <w:t>Culturally safe behaviour-change programs for Aboriginal men.</w:t>
      </w:r>
    </w:p>
    <w:p w14:paraId="00BC252C" w14:textId="77777777" w:rsidR="00D174E9" w:rsidRDefault="000F52ED">
      <w:pPr>
        <w:pStyle w:val="ListParagraph"/>
        <w:numPr>
          <w:ilvl w:val="0"/>
          <w:numId w:val="1"/>
        </w:numPr>
        <w:spacing w:after="90"/>
        <w:jc w:val="both"/>
      </w:pPr>
      <w:r>
        <w:t>Adolescent behaviour-change programs.</w:t>
      </w:r>
    </w:p>
    <w:p w14:paraId="4CEAB079" w14:textId="77777777" w:rsidR="00D174E9" w:rsidRDefault="000F52ED">
      <w:pPr>
        <w:pStyle w:val="ListParagraph"/>
        <w:numPr>
          <w:ilvl w:val="0"/>
          <w:numId w:val="1"/>
        </w:numPr>
        <w:spacing w:after="90"/>
        <w:jc w:val="both"/>
      </w:pPr>
      <w:r>
        <w:t>Integration of digital tools (such as Inner Boy and She's Not Your Rehab) into formal referral and case management pathways.</w:t>
      </w:r>
    </w:p>
    <w:p w14:paraId="6280E13B" w14:textId="77777777" w:rsidR="00D174E9" w:rsidRDefault="000F52ED">
      <w:pPr>
        <w:pStyle w:val="ListParagraph"/>
        <w:numPr>
          <w:ilvl w:val="0"/>
          <w:numId w:val="1"/>
        </w:numPr>
        <w:spacing w:after="90"/>
        <w:jc w:val="both"/>
      </w:pPr>
      <w:r>
        <w:t>A pattern-based escalation pathway that allows a documented, escalating pattern of coercive control to trigger mandatory behaviour change program referral and, for high-risk patterns, electronic monitoring — before a breach or new criminal act occurs, not only after.</w:t>
      </w:r>
    </w:p>
    <w:p w14:paraId="054D807C" w14:textId="77777777" w:rsidR="00D174E9" w:rsidRDefault="000F52ED">
      <w:pPr>
        <w:pStyle w:val="Heading2"/>
        <w:spacing w:before="240" w:after="130"/>
      </w:pPr>
      <w:r>
        <w:t>Priority Area 5: System Integration and Workforce</w:t>
      </w:r>
    </w:p>
    <w:p w14:paraId="0946C5AE" w14:textId="77777777" w:rsidR="00D174E9" w:rsidRDefault="000F52ED">
      <w:pPr>
        <w:pStyle w:val="ListParagraph"/>
        <w:numPr>
          <w:ilvl w:val="0"/>
          <w:numId w:val="1"/>
        </w:numPr>
        <w:spacing w:after="90"/>
        <w:jc w:val="both"/>
      </w:pPr>
      <w:r>
        <w:t>A national shared language, framework and set of tools for identifying and responding to coercive control.</w:t>
      </w:r>
    </w:p>
    <w:p w14:paraId="7B1A5343" w14:textId="77777777" w:rsidR="00D174E9" w:rsidRDefault="000F52ED">
      <w:pPr>
        <w:pStyle w:val="ListParagraph"/>
        <w:numPr>
          <w:ilvl w:val="0"/>
          <w:numId w:val="1"/>
        </w:numPr>
        <w:spacing w:after="90"/>
        <w:jc w:val="both"/>
      </w:pPr>
      <w:r>
        <w:t>Mandatory domestic and family violence training for universal services.</w:t>
      </w:r>
    </w:p>
    <w:p w14:paraId="3BF9343D" w14:textId="77777777" w:rsidR="00D174E9" w:rsidRDefault="000F52ED">
      <w:pPr>
        <w:pStyle w:val="ListParagraph"/>
        <w:numPr>
          <w:ilvl w:val="0"/>
          <w:numId w:val="1"/>
        </w:numPr>
        <w:spacing w:after="90"/>
        <w:jc w:val="both"/>
      </w:pPr>
      <w:r>
        <w:t>Advanced training for high-risk sectors, and specialist training for police, Child Safety and courts.</w:t>
      </w:r>
    </w:p>
    <w:p w14:paraId="6255EE96" w14:textId="77777777" w:rsidR="00D174E9" w:rsidRDefault="000F52ED">
      <w:pPr>
        <w:pStyle w:val="ListParagraph"/>
        <w:numPr>
          <w:ilvl w:val="0"/>
          <w:numId w:val="1"/>
        </w:numPr>
        <w:spacing w:after="90"/>
        <w:jc w:val="both"/>
      </w:pPr>
      <w:r>
        <w:t>National Communities of Practice to sustain workforce capability over time.</w:t>
      </w:r>
    </w:p>
    <w:p w14:paraId="15AED5F3" w14:textId="77777777" w:rsidR="00D174E9" w:rsidRDefault="000F52ED">
      <w:pPr>
        <w:pStyle w:val="ListParagraph"/>
        <w:numPr>
          <w:ilvl w:val="0"/>
          <w:numId w:val="1"/>
        </w:numPr>
        <w:spacing w:after="90"/>
        <w:jc w:val="both"/>
      </w:pPr>
      <w:r>
        <w:t>Mandatory domestic, family and sexual violence-informed practice content embedded as a core graduation requirement — not an elective — across all pre-registration TAFE and university qualifications leading to work with children, families or the public.</w:t>
      </w:r>
    </w:p>
    <w:p w14:paraId="6F527C81" w14:textId="77777777" w:rsidR="00D174E9" w:rsidRDefault="000F52ED">
      <w:pPr>
        <w:pStyle w:val="ListParagraph"/>
        <w:numPr>
          <w:ilvl w:val="0"/>
          <w:numId w:val="1"/>
        </w:numPr>
        <w:spacing w:after="90"/>
        <w:jc w:val="both"/>
      </w:pPr>
      <w:r>
        <w:t>A trial or scale-up of a co-located, multi-agency high-risk response model, informed by international precedent such as the UK MARAC and US Family Justice Center models.</w:t>
      </w:r>
    </w:p>
    <w:p w14:paraId="4A7F47AA" w14:textId="77777777" w:rsidR="00D174E9" w:rsidRDefault="000F52ED">
      <w:pPr>
        <w:pStyle w:val="Heading1"/>
        <w:pBdr>
          <w:bottom w:val="single" w:sz="6" w:space="6" w:color="0CC0DF"/>
        </w:pBdr>
        <w:spacing w:before="260" w:after="220"/>
      </w:pPr>
      <w:r>
        <w:t>7. Why the Safe &amp; Together Model Should Be Considered National Practice Infrastructure</w:t>
      </w:r>
    </w:p>
    <w:p w14:paraId="0FED26B1" w14:textId="77777777" w:rsidR="00D174E9" w:rsidRDefault="000F52ED">
      <w:pPr>
        <w:spacing w:after="200"/>
        <w:jc w:val="both"/>
      </w:pPr>
      <w:r>
        <w:t>Safe &amp; Together is already used across Australia and internationally. It provides a shared language, a shared framework, and a shared set of tools; a perpetrator pattern-based lens; a child-centred approach; a cross-system practice model; and a workforce capability pipeline. Grace &amp; Grit's delivery of the Model in Tasmania, including our work with Baptcare and our cross-sector Safe &amp; Together Community of Practice, has been recognised directly by David Mandel, founder of the Safe &amp; Together Institute — evid</w:t>
      </w:r>
      <w:r>
        <w:t>ence that this is not a locally improvised approach but one aligned with, and endorsed by, the model's international developer.</w:t>
      </w:r>
    </w:p>
    <w:p w14:paraId="17F2174A" w14:textId="77777777" w:rsidR="00D174E9" w:rsidRDefault="000F52ED">
      <w:pPr>
        <w:spacing w:after="200"/>
        <w:jc w:val="both"/>
      </w:pPr>
      <w:r>
        <w:t>It is one of the only models that teaches practitioners to see coercive control as a pattern, rather than assessing isolated incidents in isolation from one another — which is precisely the gap the national evidence base identifies. Safe &amp; Together is not "another training." It is national practice infrastructure, and we ask that the Second Action Plan fund and mandate it accordingly.</w:t>
      </w:r>
    </w:p>
    <w:p w14:paraId="3D743432" w14:textId="77777777" w:rsidR="00D174E9" w:rsidRDefault="000F52ED">
      <w:pPr>
        <w:pStyle w:val="Heading1"/>
        <w:pBdr>
          <w:bottom w:val="single" w:sz="6" w:space="6" w:color="0CC0DF"/>
        </w:pBdr>
        <w:spacing w:before="260" w:after="220"/>
      </w:pPr>
      <w:r>
        <w:t>8. Learning from International Practice: Cross-Sector Collaboration and Workforce Education</w:t>
      </w:r>
    </w:p>
    <w:p w14:paraId="2E03327D" w14:textId="77777777" w:rsidR="00D174E9" w:rsidRDefault="000F52ED">
      <w:pPr>
        <w:spacing w:after="200"/>
        <w:jc w:val="both"/>
      </w:pPr>
      <w:r>
        <w:t xml:space="preserve">Australia is not alone in grappling with fragmented systems, and other jurisdictions have already tested what works. The Second Action Plan has an opportunity to draw on a proven international </w:t>
      </w:r>
      <w:r>
        <w:lastRenderedPageBreak/>
        <w:t>evidence base for cross-sector collaboration, rather than each jurisdiction building coordination mechanisms from scratch.</w:t>
      </w:r>
    </w:p>
    <w:p w14:paraId="4BB4B476" w14:textId="77777777" w:rsidR="00D174E9" w:rsidRDefault="000F52ED">
      <w:pPr>
        <w:pStyle w:val="Heading2"/>
        <w:spacing w:before="240" w:after="130"/>
      </w:pPr>
      <w:r>
        <w:t>8.1 Cross-sector collaboration that already works elsewhere</w:t>
      </w:r>
    </w:p>
    <w:p w14:paraId="6E7BDE8B" w14:textId="77777777" w:rsidR="00D174E9" w:rsidRDefault="000F52ED">
      <w:pPr>
        <w:pStyle w:val="ListParagraph"/>
        <w:numPr>
          <w:ilvl w:val="0"/>
          <w:numId w:val="1"/>
        </w:numPr>
        <w:spacing w:after="90"/>
        <w:jc w:val="both"/>
      </w:pPr>
      <w:r>
        <w:t>United Kingdom — Multi-Agency Risk Assessment Conferences (MARACs): since the first MARAC in Cardiff in 2003, the model has expanded to over 260 MARACs across England, Wales and Northern Ireland, managing more than 55,000 cases a year by bringing police, health, housing, child protection and independent domestic violence advisors to the same table for the highest-risk cases. Evaluations link the model to significant reductions in repeat victimisation and a strong return on public investment.</w:t>
      </w:r>
    </w:p>
    <w:p w14:paraId="211565DF" w14:textId="77777777" w:rsidR="00D174E9" w:rsidRDefault="000F52ED">
      <w:pPr>
        <w:pStyle w:val="ListParagraph"/>
        <w:numPr>
          <w:ilvl w:val="0"/>
          <w:numId w:val="1"/>
        </w:numPr>
        <w:spacing w:after="90"/>
        <w:jc w:val="both"/>
      </w:pPr>
      <w:r>
        <w:t>United States — the Family Justice Center movement: physically co-locates police, prosecutors, advocates, health services and children's services in a single site so victim-survivors tell their story once instead of repeating it across multiple agencies. The model, coordinated internationally through Alliance for HOPE International, is now used in communities well beyond the United States.</w:t>
      </w:r>
    </w:p>
    <w:p w14:paraId="4CF1DABA" w14:textId="77777777" w:rsidR="00D174E9" w:rsidRDefault="000F52ED">
      <w:pPr>
        <w:pStyle w:val="ListParagraph"/>
        <w:numPr>
          <w:ilvl w:val="0"/>
          <w:numId w:val="1"/>
        </w:numPr>
        <w:spacing w:after="90"/>
        <w:jc w:val="both"/>
      </w:pPr>
      <w:r>
        <w:t>Canada — a federal-provincial-territorial approach that treats domestic violence as requiring coordination across social, justice, education and health portfolios at every level of government, rather than resting with a single lead agency.</w:t>
      </w:r>
    </w:p>
    <w:p w14:paraId="7560ECAE" w14:textId="77777777" w:rsidR="00D174E9" w:rsidRDefault="000F52ED">
      <w:pPr>
        <w:pStyle w:val="ListParagraph"/>
        <w:numPr>
          <w:ilvl w:val="0"/>
          <w:numId w:val="1"/>
        </w:numPr>
        <w:spacing w:after="90"/>
        <w:jc w:val="both"/>
      </w:pPr>
      <w:r>
        <w:t>European Union — the IMPRODOVA project: a research-backed training platform embedding domestic violence recognition directly into medical curricula across Europe, developed in response to evidence that health professionals are consistently a victim-survivor's first point of contact yet the least likely to be trained to recognise it.</w:t>
      </w:r>
    </w:p>
    <w:p w14:paraId="2264CA9F" w14:textId="77777777" w:rsidR="00D174E9" w:rsidRDefault="000F52ED">
      <w:pPr>
        <w:spacing w:after="200"/>
        <w:jc w:val="both"/>
      </w:pPr>
      <w:r>
        <w:t>We ask that the Second Action Plan commit to trialling or scaling an Australian equivalent of a co-located, multi-agency high-risk response model, learning directly from the MARAC and Family Justice Center evidence base, rather than each state and territory reinventing coordination mechanisms independently.</w:t>
      </w:r>
    </w:p>
    <w:p w14:paraId="0FBDEF89" w14:textId="77777777" w:rsidR="00D174E9" w:rsidRDefault="000F52ED">
      <w:pPr>
        <w:spacing w:after="200"/>
        <w:jc w:val="both"/>
      </w:pPr>
      <w:r>
        <w:t>Australia does not need to look only overseas for tested models. South Australia's Domestic Violence Disclosure Scheme (DVDS) already provides a working precedent closer to home: a person concerned about a partner or former partner's history of violence can apply to police for relevant information, with every application connected to a specialist domestic violence worker for risk assessment, safety planning and support (South Australia Police, DVDS). A nationally consistent, properly resourced version of th</w:t>
      </w:r>
      <w:r>
        <w:t>is scheme — paired with the cross-agency case continuity infrastructure recommended above — would give Australians a proven, already-operating right-to-ask mechanism, rather than a new concept requiring years of piloting.</w:t>
      </w:r>
    </w:p>
    <w:p w14:paraId="049B0FF9" w14:textId="77777777" w:rsidR="00D174E9" w:rsidRDefault="000F52ED">
      <w:pPr>
        <w:pStyle w:val="Heading2"/>
        <w:spacing w:before="240" w:after="130"/>
      </w:pPr>
      <w:r>
        <w:t>8.2 Embedding this in TAFE and university education, not leaving it to chance</w:t>
      </w:r>
    </w:p>
    <w:p w14:paraId="4BC07595" w14:textId="77777777" w:rsidR="00D174E9" w:rsidRDefault="000F52ED">
      <w:pPr>
        <w:spacing w:after="200"/>
        <w:jc w:val="both"/>
      </w:pPr>
      <w:r>
        <w:t xml:space="preserve">In Australia, domestic, family and sexual violence-informed practice training is overwhelmingly delivered as a postgraduate specialisation. Graduate certificates are available through providers including RMIT, QUT and the University of Melbourne, and Victoria has established mandatory minimum qualifications for specialist family violence practitioners. But these are opt-in pathways for people who have already chosen to specialise. They do nothing for the graduating nurse, teacher, early childhood educator, </w:t>
      </w:r>
      <w:r>
        <w:t>police recruit or youth worker who will encounter coercive control and family violence routinely in general practice, often without ever choosing domestic and family violence as a specialism.</w:t>
      </w:r>
    </w:p>
    <w:p w14:paraId="316BC2D3" w14:textId="77777777" w:rsidR="00D174E9" w:rsidRDefault="000F52ED">
      <w:pPr>
        <w:spacing w:after="200"/>
        <w:jc w:val="both"/>
      </w:pPr>
      <w:r>
        <w:t xml:space="preserve">This is not a hypothetical gap. Research from the European IMPRODOVA project found that domestic violence content is frequently absent from mandatory medical curricula, despite health professionals being consistently identified as frontline responders. There is no reason to expect the picture is </w:t>
      </w:r>
      <w:r>
        <w:lastRenderedPageBreak/>
        <w:t>materially different across Australian pre-registration courses in nursing, teaching, early childhood, social work, policing or youth work, where this content typically remains elective or absent.</w:t>
      </w:r>
    </w:p>
    <w:p w14:paraId="0E1DEF7F" w14:textId="77777777" w:rsidR="00D174E9" w:rsidRDefault="000F52ED">
      <w:pPr>
        <w:spacing w:after="200"/>
        <w:jc w:val="both"/>
      </w:pPr>
      <w:r>
        <w:t>Grace &amp; Grit recommends that the Second Action Plan commit to working with the TAFE and university sectors nationally to embed core domestic, family and sexual violence-informed practice — including coercive control recognition and perpetrator pattern-based thinking — as a mandatory graduation requirement, not an elective, across every pre-registration qualification that leads to work with children, families or the public. This includes nursing and midwifery, teaching and early childhood education, social w</w:t>
      </w:r>
      <w:r>
        <w:t>ork, policing, youth work and allied health. Waiting for graduates to opt into specialist postgraduate training after the fact means an entire generation of frontline practitioners enters the workforce without this knowledge as standard.</w:t>
      </w:r>
    </w:p>
    <w:p w14:paraId="2D79A29F" w14:textId="77777777" w:rsidR="00D174E9" w:rsidRDefault="000F52ED">
      <w:pPr>
        <w:pStyle w:val="Heading2"/>
        <w:spacing w:before="240" w:after="130"/>
      </w:pPr>
      <w:r>
        <w:t>8.3 Governance accountability: an independent guardian for long-term commitments</w:t>
      </w:r>
    </w:p>
    <w:p w14:paraId="2E606C2E" w14:textId="77777777" w:rsidR="00D174E9" w:rsidRDefault="000F52ED">
      <w:pPr>
        <w:spacing w:after="200"/>
        <w:jc w:val="both"/>
      </w:pPr>
      <w:r>
        <w:t>The National Plan operates on a ten-year horizon, but accountability for its long-term commitments is diffused across departments, action plans and electoral cycles — the same short-term bias that undermines sustained reform in any policy area requiring long-term investment. Wales's Wellbeing of Future Generations Act (2015) offers a tested governance model for this exact problem: it established seven statutory wellbeing goals that all Welsh public bodies are legally required to report progress against annu</w:t>
      </w:r>
      <w:r>
        <w:t>ally, and created an independent Future Generations Commissioner who monitors progress and holds government accountable between electoral cycles. The model has proven influential enough to directly inform the UN's 2024 Pact for the Future.</w:t>
      </w:r>
    </w:p>
    <w:p w14:paraId="4422DFF3" w14:textId="77777777" w:rsidR="00D174E9" w:rsidRDefault="000F52ED">
      <w:pPr>
        <w:spacing w:after="200"/>
        <w:jc w:val="both"/>
      </w:pPr>
      <w:r>
        <w:t xml:space="preserve">Australia does not need to invent this mechanism — it already exists on paper. The DFSV Commission was established as an independent Executive Agency with exactly this remit: monitoring, evaluation and a Yearly Report to Parliament. What it does not yet have is the statutory teeth that make the Welsh model work. Wales legally obligates every public body to report annually against binding goals; the DFSV Commission itself has publicly requested expanded statutory powers to gather timely data and evidence to </w:t>
      </w:r>
      <w:r>
        <w:t>properly monitor the National Plan, and the National Indigenous Australians Agency separately confirms no mechanism currently exists to measure implementation progress across Australian governments under the Closing the Gap Priority Reforms. The Commission has the mandate to be Australia's Future Generations Commissioner equivalent. It does not yet have the mandatory reporting powers, or a complete data base, to do that job. We recommend the Second Action Plan resource and empower the existing DFSV Commissi</w:t>
      </w:r>
      <w:r>
        <w:t>on with binding authority to compel timely, standardised reporting from all jurisdictions and agencies — rather than create a new body, fix the mandate and the data pipeline of the one that already exists.</w:t>
      </w:r>
    </w:p>
    <w:p w14:paraId="08F652CF" w14:textId="77777777" w:rsidR="00D174E9" w:rsidRDefault="000F52ED">
      <w:pPr>
        <w:pStyle w:val="Heading1"/>
        <w:pBdr>
          <w:bottom w:val="single" w:sz="6" w:space="6" w:color="0CC0DF"/>
        </w:pBdr>
        <w:spacing w:before="260" w:after="220"/>
      </w:pPr>
      <w:r>
        <w:t>9. Summary of Recommendations</w:t>
      </w:r>
    </w:p>
    <w:p w14:paraId="6CD38765" w14:textId="77777777" w:rsidR="00D174E9" w:rsidRDefault="000F52ED">
      <w:pPr>
        <w:pStyle w:val="ListParagraph"/>
        <w:numPr>
          <w:ilvl w:val="0"/>
          <w:numId w:val="1"/>
        </w:numPr>
        <w:spacing w:after="90"/>
        <w:jc w:val="both"/>
      </w:pPr>
      <w:r>
        <w:t>Adopt a national domestic, family and sexual violence-informed practice framework, with the Safe &amp; Together Model recognised and funded as national practice infrastructure. A costed, jurisdiction-scalable statewide workforce training model already exists and is available on request.</w:t>
      </w:r>
    </w:p>
    <w:p w14:paraId="09FE1060" w14:textId="77777777" w:rsidR="00D174E9" w:rsidRDefault="000F52ED">
      <w:pPr>
        <w:pStyle w:val="ListParagraph"/>
        <w:numPr>
          <w:ilvl w:val="0"/>
          <w:numId w:val="1"/>
        </w:numPr>
        <w:spacing w:after="90"/>
        <w:jc w:val="both"/>
      </w:pPr>
      <w:r>
        <w:t>Fund housing and refuge as core safety infrastructure, with public targets and annual reporting on the proportion of DFV-related clients missing out on short-, medium- and long-term housing.</w:t>
      </w:r>
    </w:p>
    <w:p w14:paraId="72C6EEE4" w14:textId="77777777" w:rsidR="00D174E9" w:rsidRDefault="000F52ED">
      <w:pPr>
        <w:pStyle w:val="ListParagraph"/>
        <w:numPr>
          <w:ilvl w:val="0"/>
          <w:numId w:val="1"/>
        </w:numPr>
        <w:spacing w:after="90"/>
        <w:jc w:val="both"/>
      </w:pPr>
      <w:r>
        <w:t>Establish national minimum standards for documenting perpetrator behaviour across DFV-relevant service systems, embedded through Safe &amp; Together or an equivalent perpetrator pattern-based framework, and tied to funding and accountability requirements.</w:t>
      </w:r>
    </w:p>
    <w:p w14:paraId="54C78DA0" w14:textId="77777777" w:rsidR="00D174E9" w:rsidRDefault="000F52ED">
      <w:pPr>
        <w:pStyle w:val="ListParagraph"/>
        <w:numPr>
          <w:ilvl w:val="0"/>
          <w:numId w:val="1"/>
        </w:numPr>
        <w:spacing w:after="90"/>
        <w:jc w:val="both"/>
      </w:pPr>
      <w:r>
        <w:t xml:space="preserve">Require every state and territory police force to establish an independent, externally-chaired review mechanism for family and sexual violence incidents involving their own officers — </w:t>
      </w:r>
      <w:r>
        <w:lastRenderedPageBreak/>
        <w:t>modelled on Tasmania's existing Family and Sexual Violence Involving Police Policy — with outcomes reported nationally and consistently, not managed solely as an internal disciplinary matter.</w:t>
      </w:r>
    </w:p>
    <w:p w14:paraId="06910314" w14:textId="77777777" w:rsidR="00D174E9" w:rsidRDefault="000F52ED">
      <w:pPr>
        <w:pStyle w:val="ListParagraph"/>
        <w:numPr>
          <w:ilvl w:val="0"/>
          <w:numId w:val="1"/>
        </w:numPr>
        <w:spacing w:after="90"/>
        <w:jc w:val="both"/>
      </w:pPr>
      <w:r>
        <w:t>Legislate so that a demonstrated, escalating pattern of coercive control can itself trigger an escalated, criminal-justice-level response — including mandatory behaviour change referral and, for high-risk patterns, electronic monitoring — rather than requiring a breach of a civil protection order, or a new criminal act, before the system treats the risk as real.</w:t>
      </w:r>
    </w:p>
    <w:p w14:paraId="042FC27A" w14:textId="77777777" w:rsidR="00D174E9" w:rsidRDefault="000F52ED">
      <w:pPr>
        <w:pStyle w:val="ListParagraph"/>
        <w:numPr>
          <w:ilvl w:val="0"/>
          <w:numId w:val="1"/>
        </w:numPr>
        <w:spacing w:after="90"/>
        <w:jc w:val="both"/>
      </w:pPr>
      <w:r>
        <w:t>Require mandatory, pattern-based risk assessment training for all police responding to family violence, and mandatory public reporting of misidentification rates disaggregated by socioeconomic status and location, so that class-based bias in policing responses can be measured and addressed rather than assumed away.</w:t>
      </w:r>
    </w:p>
    <w:p w14:paraId="37447C3E" w14:textId="77777777" w:rsidR="00D174E9" w:rsidRDefault="000F52ED">
      <w:pPr>
        <w:pStyle w:val="ListParagraph"/>
        <w:numPr>
          <w:ilvl w:val="0"/>
          <w:numId w:val="1"/>
        </w:numPr>
        <w:spacing w:after="90"/>
        <w:jc w:val="both"/>
      </w:pPr>
      <w:r>
        <w:t>Establish a single, resourced, actively coordinated point of entry for victim-survivors that spans government, specialist FSV, and corporate or philanthropic support programs alike — funded nationally at a level equivalent to Victoria's Orange Door network — so access does not depend on which door a person happens to find first.</w:t>
      </w:r>
    </w:p>
    <w:p w14:paraId="595F19A8" w14:textId="77777777" w:rsidR="00D174E9" w:rsidRDefault="000F52ED">
      <w:pPr>
        <w:pStyle w:val="ListParagraph"/>
        <w:numPr>
          <w:ilvl w:val="0"/>
          <w:numId w:val="1"/>
        </w:numPr>
        <w:spacing w:after="90"/>
        <w:jc w:val="both"/>
      </w:pPr>
      <w:r>
        <w:t>Fund a national refuge and shelter model guaranteeing coverage in regional and remote communities currently served by no shelter at all, and designed to accommodate teenage boys alongside their mothers and siblings rather than splitting families apart through age cut-offs at the point of crisis.</w:t>
      </w:r>
    </w:p>
    <w:p w14:paraId="306838A5" w14:textId="77777777" w:rsidR="00D174E9" w:rsidRDefault="000F52ED">
      <w:pPr>
        <w:pStyle w:val="ListParagraph"/>
        <w:numPr>
          <w:ilvl w:val="0"/>
          <w:numId w:val="1"/>
        </w:numPr>
        <w:spacing w:after="90"/>
        <w:jc w:val="both"/>
      </w:pPr>
      <w:r>
        <w:t>Embed a structured, resourced victim-survivor lived-experience advisory mechanism in the governance of the Second Action Plan itself, so victim-survivors are central participants in designing and reviewing reforms, not only their intended beneficiaries.</w:t>
      </w:r>
    </w:p>
    <w:p w14:paraId="2951DA06" w14:textId="77777777" w:rsidR="00D174E9" w:rsidRDefault="000F52ED">
      <w:pPr>
        <w:pStyle w:val="ListParagraph"/>
        <w:numPr>
          <w:ilvl w:val="0"/>
          <w:numId w:val="1"/>
        </w:numPr>
        <w:spacing w:after="90"/>
        <w:jc w:val="both"/>
      </w:pPr>
      <w:r>
        <w:t>Require 1800RESPECT and any nationally branded crisis line funded under it to adopt a mandatory subpoena-resistance policy matching standard specialist sexual assault sector practice, and publicly release the outcome of the 2025 independent review into 1800RESPECT that has not yet been disclosed.</w:t>
      </w:r>
    </w:p>
    <w:p w14:paraId="4425E7FA" w14:textId="77777777" w:rsidR="00D174E9" w:rsidRDefault="000F52ED">
      <w:pPr>
        <w:pStyle w:val="ListParagraph"/>
        <w:numPr>
          <w:ilvl w:val="0"/>
          <w:numId w:val="1"/>
        </w:numPr>
        <w:spacing w:after="90"/>
        <w:jc w:val="both"/>
      </w:pPr>
      <w:r>
        <w:t>Adopt a national perpetrator intervention framework, scaling Caring Dads, Walking with Dads, adolescent behaviour-change programs, and culturally safe programs for Aboriginal men.</w:t>
      </w:r>
    </w:p>
    <w:p w14:paraId="7D414CD1" w14:textId="77777777" w:rsidR="00D174E9" w:rsidRDefault="000F52ED">
      <w:pPr>
        <w:pStyle w:val="ListParagraph"/>
        <w:numPr>
          <w:ilvl w:val="0"/>
          <w:numId w:val="1"/>
        </w:numPr>
        <w:spacing w:after="90"/>
        <w:jc w:val="both"/>
      </w:pPr>
      <w:r>
        <w:t>Develop a national youth domestic and family violence strategy, including adolescent behaviour-change programs and DFV-informed education and youth justice systems.</w:t>
      </w:r>
    </w:p>
    <w:p w14:paraId="4D2CD673" w14:textId="77777777" w:rsidR="00D174E9" w:rsidRDefault="000F52ED">
      <w:pPr>
        <w:pStyle w:val="ListParagraph"/>
        <w:numPr>
          <w:ilvl w:val="0"/>
          <w:numId w:val="1"/>
        </w:numPr>
        <w:spacing w:after="90"/>
        <w:jc w:val="both"/>
      </w:pPr>
      <w:r>
        <w:t>Resource First Nations-led responses aligned with Our Ways – Strong Ways – Our Voices.</w:t>
      </w:r>
    </w:p>
    <w:p w14:paraId="4C2BE29A" w14:textId="77777777" w:rsidR="00D174E9" w:rsidRDefault="000F52ED">
      <w:pPr>
        <w:pStyle w:val="ListParagraph"/>
        <w:numPr>
          <w:ilvl w:val="0"/>
          <w:numId w:val="1"/>
        </w:numPr>
        <w:spacing w:after="90"/>
        <w:jc w:val="both"/>
      </w:pPr>
      <w:r>
        <w:t>Recognise family violence prevention as a whole-of-community responsibility requiring bravery, information and training at the community level, resourced and led by communities, backed by police and key agencies, with non-profit organisations holding genuine governance seats rather than token consultation.</w:t>
      </w:r>
    </w:p>
    <w:p w14:paraId="4AA10C34" w14:textId="77777777" w:rsidR="00D174E9" w:rsidRDefault="000F52ED">
      <w:pPr>
        <w:pStyle w:val="ListParagraph"/>
        <w:numPr>
          <w:ilvl w:val="0"/>
          <w:numId w:val="1"/>
        </w:numPr>
        <w:spacing w:after="90"/>
        <w:jc w:val="both"/>
      </w:pPr>
      <w:r>
        <w:t>Work with media organisations and the Australian Press Council to establish and actively monitor consistent, accurate naming standards for family violence reporting, so incidents are named as family violence rather than reported as disconnected, de-labelled events.</w:t>
      </w:r>
    </w:p>
    <w:p w14:paraId="1F5E1410" w14:textId="77777777" w:rsidR="00D174E9" w:rsidRDefault="000F52ED">
      <w:pPr>
        <w:pStyle w:val="ListParagraph"/>
        <w:numPr>
          <w:ilvl w:val="0"/>
          <w:numId w:val="1"/>
        </w:numPr>
        <w:spacing w:after="90"/>
        <w:jc w:val="both"/>
      </w:pPr>
      <w:r>
        <w:t>Fund a national workforce capability strategy, including mandatory training for universal services and specialist training for high-risk sectors.</w:t>
      </w:r>
    </w:p>
    <w:p w14:paraId="7734763C" w14:textId="77777777" w:rsidR="00D174E9" w:rsidRDefault="000F52ED">
      <w:pPr>
        <w:pStyle w:val="ListParagraph"/>
        <w:numPr>
          <w:ilvl w:val="0"/>
          <w:numId w:val="1"/>
        </w:numPr>
        <w:spacing w:after="90"/>
        <w:jc w:val="both"/>
      </w:pPr>
      <w:r>
        <w:t>Embed domestic, family and sexual violence-informed practice as a mandatory graduation requirement across pre-registration TAFE and university courses nationally, and commit to trialling an Australian co-located, multi-agency high-risk response model informed by international precedent such as the UK MARAC and US Family Justice Center models.</w:t>
      </w:r>
    </w:p>
    <w:p w14:paraId="32A8E67E" w14:textId="77777777" w:rsidR="00D174E9" w:rsidRDefault="000F52ED">
      <w:pPr>
        <w:pStyle w:val="ListParagraph"/>
        <w:numPr>
          <w:ilvl w:val="0"/>
          <w:numId w:val="1"/>
        </w:numPr>
        <w:spacing w:after="90"/>
        <w:jc w:val="both"/>
      </w:pPr>
      <w:r>
        <w:t>Require mandatory, core family violence practice training — not an optional add-on — for the existing child protection and child safety workforce nationally, given family violence is the dominant context for child protection involvement, including the majority of filicide cases.</w:t>
      </w:r>
    </w:p>
    <w:p w14:paraId="149F2BA5" w14:textId="77777777" w:rsidR="00D174E9" w:rsidRDefault="000F52ED">
      <w:pPr>
        <w:pStyle w:val="ListParagraph"/>
        <w:numPr>
          <w:ilvl w:val="0"/>
          <w:numId w:val="1"/>
        </w:numPr>
        <w:spacing w:after="90"/>
        <w:jc w:val="both"/>
      </w:pPr>
      <w:r>
        <w:lastRenderedPageBreak/>
        <w:t>Require Action Plans under the National Plan, Safe and Supported, and Our Ways to explicitly reference perpetrator-pattern, child-centred, survivor-ally approaches, and fund implementation — not only policy language.</w:t>
      </w:r>
    </w:p>
    <w:p w14:paraId="395A1170" w14:textId="77777777" w:rsidR="00D174E9" w:rsidRDefault="000F52ED">
      <w:pPr>
        <w:pStyle w:val="ListParagraph"/>
        <w:numPr>
          <w:ilvl w:val="0"/>
          <w:numId w:val="1"/>
        </w:numPr>
        <w:spacing w:after="90"/>
        <w:jc w:val="both"/>
      </w:pPr>
      <w:r>
        <w:t>Fund cross-agency infrastructure connecting tax, Centrelink, child support, corporate and family law systems to recognise financial and systems abuse as a connected pattern, and formally treat protection order service as a heightened-risk period requiring active follow-up.</w:t>
      </w:r>
    </w:p>
    <w:p w14:paraId="4F5BCDE1" w14:textId="77777777" w:rsidR="00D174E9" w:rsidRDefault="000F52ED">
      <w:pPr>
        <w:pStyle w:val="ListParagraph"/>
        <w:numPr>
          <w:ilvl w:val="0"/>
          <w:numId w:val="1"/>
        </w:numPr>
        <w:spacing w:after="90"/>
        <w:jc w:val="both"/>
      </w:pPr>
      <w:r>
        <w:t>Establish a structured, resourced children and young people's advisory mechanism for DFV policy, and resource and empower the existing DFSV Commission — modelled on the statutory authority behind Wales's Future Generations Commissioner — with binding powers to compel timely, standardised reporting from all jurisdictions and agencies, so it can fulfil the monitoring mandate it already holds.</w:t>
      </w:r>
    </w:p>
    <w:p w14:paraId="0FF60290" w14:textId="77777777" w:rsidR="00D174E9" w:rsidRDefault="000F52ED">
      <w:pPr>
        <w:pStyle w:val="ListParagraph"/>
        <w:numPr>
          <w:ilvl w:val="0"/>
          <w:numId w:val="1"/>
        </w:numPr>
        <w:spacing w:after="90"/>
        <w:jc w:val="both"/>
      </w:pPr>
      <w:r>
        <w:t>Introduce dedicated sexual violence prevalence, service-access and funding indicators across all National Plan reporting, and scale South Australia's Domestic Violence Disclosure Scheme into a nationally consistent, properly resourced model.</w:t>
      </w:r>
    </w:p>
    <w:p w14:paraId="6BCD0F46" w14:textId="77777777" w:rsidR="00D174E9" w:rsidRDefault="000F52ED">
      <w:pPr>
        <w:pStyle w:val="Heading1"/>
        <w:pBdr>
          <w:bottom w:val="single" w:sz="6" w:space="6" w:color="0CC0DF"/>
        </w:pBdr>
        <w:spacing w:before="260" w:after="220"/>
      </w:pPr>
      <w:r>
        <w:t>10. Conclusion</w:t>
      </w:r>
    </w:p>
    <w:p w14:paraId="34CFDCC7" w14:textId="77777777" w:rsidR="00D174E9" w:rsidRDefault="000F52ED">
      <w:pPr>
        <w:spacing w:after="200"/>
        <w:jc w:val="both"/>
      </w:pPr>
      <w:r>
        <w:t>Grace &amp; Grit is an independent, standalone organisation, speaking from practice, evidence, and the lived experience of families and workers across Australia.</w:t>
      </w:r>
    </w:p>
    <w:p w14:paraId="25558ACC" w14:textId="77777777" w:rsidR="00D174E9" w:rsidRDefault="000F52ED">
      <w:pPr>
        <w:spacing w:after="200"/>
        <w:jc w:val="both"/>
      </w:pPr>
      <w:r>
        <w:t>The Second Action Plan is an opportunity to correct the gaps identified in this submission — not by inventing new ideas, but by implementing what the evidence has been telling us for more than a decade. Australia has an opportunity to step forward, align with the national evidence base, and implement a domestic, family and sexual violence-informed practice framework that will save lives.</w:t>
      </w:r>
    </w:p>
    <w:p w14:paraId="5DBA790B" w14:textId="77777777" w:rsidR="00D174E9" w:rsidRDefault="000F52ED">
      <w:pPr>
        <w:spacing w:after="200"/>
        <w:jc w:val="both"/>
      </w:pPr>
      <w:r>
        <w:t>Safe &amp; Together is the most evidence-aligned, nationally consistent, and urgently needed reform available to protect women, children and communities. Grace &amp; Grit stands ready to support this work nationally.</w:t>
      </w:r>
    </w:p>
    <w:p w14:paraId="55C27908" w14:textId="77777777" w:rsidR="00D174E9" w:rsidRDefault="000F52ED">
      <w:pPr>
        <w:spacing w:before="300"/>
      </w:pPr>
      <w:r>
        <w:rPr>
          <w:b/>
          <w:bCs/>
          <w:color w:val="1F2A44"/>
        </w:rPr>
        <w:t>Grace &amp; Grit Training and Consulting</w:t>
      </w:r>
    </w:p>
    <w:p w14:paraId="20AA002D" w14:textId="79377D4B" w:rsidR="00D174E9" w:rsidRDefault="000278C2">
      <w:r>
        <w:t>[redacted], Co-Founders</w:t>
      </w:r>
    </w:p>
    <w:sectPr w:rsidR="00D174E9">
      <w:headerReference w:type="default" r:id="rId10"/>
      <w:foot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42B98" w14:textId="77777777" w:rsidR="000F52ED" w:rsidRDefault="000F52ED">
      <w:r>
        <w:separator/>
      </w:r>
    </w:p>
  </w:endnote>
  <w:endnote w:type="continuationSeparator" w:id="0">
    <w:p w14:paraId="62787766" w14:textId="77777777" w:rsidR="000F52ED" w:rsidRDefault="000F5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79B64" w14:textId="42C1158C" w:rsidR="00D174E9" w:rsidRDefault="000F52ED">
    <w:pPr>
      <w:pBdr>
        <w:top w:val="single" w:sz="4" w:space="4" w:color="CCCCCC"/>
      </w:pBdr>
      <w:jc w:val="center"/>
    </w:pPr>
    <w:r>
      <w:rPr>
        <w:color w:val="595959"/>
        <w:sz w:val="16"/>
        <w:szCs w:val="16"/>
      </w:rPr>
      <w:t xml:space="preserve">Grace &amp; Grit Training and Consulting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5F5EFD">
      <w:rPr>
        <w:noProof/>
        <w:color w:val="595959"/>
        <w:sz w:val="16"/>
        <w:szCs w:val="16"/>
      </w:rPr>
      <w:t>2</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9997" w14:textId="04648271" w:rsidR="00D174E9" w:rsidRDefault="000F52ED">
    <w:pPr>
      <w:pBdr>
        <w:top w:val="single" w:sz="4" w:space="4" w:color="CCCCCC"/>
      </w:pBdr>
      <w:jc w:val="center"/>
    </w:pPr>
    <w:r>
      <w:rPr>
        <w:color w:val="595959"/>
        <w:sz w:val="16"/>
        <w:szCs w:val="16"/>
      </w:rPr>
      <w:t xml:space="preserve">Grace &amp; Grit Training and Consulting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5F5EFD">
      <w:rPr>
        <w:noProof/>
        <w:color w:val="595959"/>
        <w:sz w:val="16"/>
        <w:szCs w:val="16"/>
      </w:rPr>
      <w:t>3</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1DFF1" w14:textId="77777777" w:rsidR="000F52ED" w:rsidRDefault="000F52ED">
      <w:r>
        <w:separator/>
      </w:r>
    </w:p>
  </w:footnote>
  <w:footnote w:type="continuationSeparator" w:id="0">
    <w:p w14:paraId="118EBAD9" w14:textId="77777777" w:rsidR="000F52ED" w:rsidRDefault="000F5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B334" w14:textId="77777777" w:rsidR="00D174E9" w:rsidRDefault="000F52ED">
    <w:pPr>
      <w:jc w:val="right"/>
    </w:pPr>
    <w:r>
      <w:rPr>
        <w:i/>
        <w:iCs/>
        <w:color w:val="595959"/>
        <w:sz w:val="16"/>
        <w:szCs w:val="16"/>
      </w:rPr>
      <w:t>Second Action Plan — Grace &amp; Grit Submission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16C0" w14:textId="77777777" w:rsidR="00D174E9" w:rsidRDefault="000F52ED">
    <w:pPr>
      <w:jc w:val="right"/>
    </w:pPr>
    <w:r>
      <w:rPr>
        <w:i/>
        <w:iCs/>
        <w:color w:val="595959"/>
        <w:sz w:val="16"/>
        <w:szCs w:val="16"/>
      </w:rPr>
      <w:t>Second Action Plan — Grace &amp; Grit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2B36"/>
    <w:multiLevelType w:val="hybridMultilevel"/>
    <w:tmpl w:val="F97CD4CC"/>
    <w:lvl w:ilvl="0" w:tplc="27006F1C">
      <w:start w:val="1"/>
      <w:numFmt w:val="bullet"/>
      <w:lvlText w:val="●"/>
      <w:lvlJc w:val="left"/>
      <w:pPr>
        <w:ind w:left="720" w:hanging="360"/>
      </w:pPr>
    </w:lvl>
    <w:lvl w:ilvl="1" w:tplc="F5462592">
      <w:start w:val="1"/>
      <w:numFmt w:val="bullet"/>
      <w:lvlText w:val="○"/>
      <w:lvlJc w:val="left"/>
      <w:pPr>
        <w:ind w:left="1440" w:hanging="360"/>
      </w:pPr>
    </w:lvl>
    <w:lvl w:ilvl="2" w:tplc="9DAC6B66">
      <w:start w:val="1"/>
      <w:numFmt w:val="bullet"/>
      <w:lvlText w:val="■"/>
      <w:lvlJc w:val="left"/>
      <w:pPr>
        <w:ind w:left="2160" w:hanging="360"/>
      </w:pPr>
    </w:lvl>
    <w:lvl w:ilvl="3" w:tplc="BC76B306">
      <w:start w:val="1"/>
      <w:numFmt w:val="bullet"/>
      <w:lvlText w:val="●"/>
      <w:lvlJc w:val="left"/>
      <w:pPr>
        <w:ind w:left="2880" w:hanging="360"/>
      </w:pPr>
    </w:lvl>
    <w:lvl w:ilvl="4" w:tplc="A584485C">
      <w:start w:val="1"/>
      <w:numFmt w:val="bullet"/>
      <w:lvlText w:val="○"/>
      <w:lvlJc w:val="left"/>
      <w:pPr>
        <w:ind w:left="3600" w:hanging="360"/>
      </w:pPr>
    </w:lvl>
    <w:lvl w:ilvl="5" w:tplc="4ECC57E4">
      <w:start w:val="1"/>
      <w:numFmt w:val="bullet"/>
      <w:lvlText w:val="■"/>
      <w:lvlJc w:val="left"/>
      <w:pPr>
        <w:ind w:left="4320" w:hanging="360"/>
      </w:pPr>
    </w:lvl>
    <w:lvl w:ilvl="6" w:tplc="3474C492">
      <w:start w:val="1"/>
      <w:numFmt w:val="bullet"/>
      <w:lvlText w:val="●"/>
      <w:lvlJc w:val="left"/>
      <w:pPr>
        <w:ind w:left="5040" w:hanging="360"/>
      </w:pPr>
    </w:lvl>
    <w:lvl w:ilvl="7" w:tplc="A41AE6EE">
      <w:start w:val="1"/>
      <w:numFmt w:val="bullet"/>
      <w:lvlText w:val="●"/>
      <w:lvlJc w:val="left"/>
      <w:pPr>
        <w:ind w:left="5760" w:hanging="360"/>
      </w:pPr>
    </w:lvl>
    <w:lvl w:ilvl="8" w:tplc="B81233FA">
      <w:start w:val="1"/>
      <w:numFmt w:val="bullet"/>
      <w:lvlText w:val="●"/>
      <w:lvlJc w:val="left"/>
      <w:pPr>
        <w:ind w:left="6480" w:hanging="360"/>
      </w:pPr>
    </w:lvl>
  </w:abstractNum>
  <w:num w:numId="1" w16cid:durableId="6652125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4E9"/>
    <w:rsid w:val="000278C2"/>
    <w:rsid w:val="00040EC2"/>
    <w:rsid w:val="000F52ED"/>
    <w:rsid w:val="001E7686"/>
    <w:rsid w:val="005F5EFD"/>
    <w:rsid w:val="006136D1"/>
    <w:rsid w:val="0082260E"/>
    <w:rsid w:val="00B85996"/>
    <w:rsid w:val="00D174E9"/>
    <w:rsid w:val="00F76D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2F9AD"/>
  <w15:docId w15:val="{813CC05E-FEC5-AD4A-A26C-6E1B63F7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2A44"/>
      <w:sz w:val="30"/>
      <w:szCs w:val="30"/>
    </w:rPr>
  </w:style>
  <w:style w:type="paragraph" w:styleId="Heading2">
    <w:name w:val="heading 2"/>
    <w:uiPriority w:val="9"/>
    <w:unhideWhenUsed/>
    <w:qFormat/>
    <w:pPr>
      <w:outlineLvl w:val="1"/>
    </w:pPr>
    <w:rPr>
      <w:b/>
      <w:bCs/>
      <w:color w:val="1F2A4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E26B43-D057-4C43-9F79-1E5816DAB788}"/>
</file>

<file path=customXml/itemProps2.xml><?xml version="1.0" encoding="utf-8"?>
<ds:datastoreItem xmlns:ds="http://schemas.openxmlformats.org/officeDocument/2006/customXml" ds:itemID="{EA0E4531-7ABD-42A1-A5E9-E4866600B317}"/>
</file>

<file path=customXml/itemProps3.xml><?xml version="1.0" encoding="utf-8"?>
<ds:datastoreItem xmlns:ds="http://schemas.openxmlformats.org/officeDocument/2006/customXml" ds:itemID="{86F85D65-E85A-4C4B-A666-664EE2573A0C}"/>
</file>

<file path=docProps/app.xml><?xml version="1.0" encoding="utf-8"?>
<Properties xmlns="http://schemas.openxmlformats.org/officeDocument/2006/extended-properties" xmlns:vt="http://schemas.openxmlformats.org/officeDocument/2006/docPropsVTypes">
  <Template>Normal.dotm</Template>
  <TotalTime>0</TotalTime>
  <Pages>21</Pages>
  <Words>10771</Words>
  <Characters>61400</Characters>
  <Application>Microsoft Office Word</Application>
  <DocSecurity>4</DocSecurity>
  <Lines>511</Lines>
  <Paragraphs>144</Paragraphs>
  <ScaleCrop>false</ScaleCrop>
  <Company/>
  <LinksUpToDate>false</LinksUpToDate>
  <CharactersWithSpaces>72027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keywords>[SEC=OFFICIAL]</cp:keywords>
  <cp:lastModifiedBy>BROOME, Lily</cp:lastModifiedBy>
  <cp:revision>2</cp:revision>
  <dcterms:created xsi:type="dcterms:W3CDTF">2026-09-07T04:43:00Z</dcterms:created>
  <dcterms:modified xsi:type="dcterms:W3CDTF">2026-09-07T04:43:00Z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v=2024.1;a=SHA256;h=5152D80103AA2108FA5B1A13C85A6DD2FEF03802060C0AB8FB0D944D825D7BA5</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2026-08-07T04:19:42Z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2026-08-07T04:19:42Z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f2a6f8f272694e20a053e136a4564eb9</vt:lpwstr>
  </property>
  <property fmtid="{D5CDD505-2E9C-101B-9397-08002B2CF9AE}" pid="24" name="PM_Originator_Hash_SHA1">
    <vt:lpwstr>799AB92281F6126B7C0D7150BEA7C26A8CC03227</vt:lpwstr>
  </property>
  <property fmtid="{D5CDD505-2E9C-101B-9397-08002B2CF9AE}" pid="25" name="PM_Originating_FileId">
    <vt:lpwstr>5E3DD49AC1BF408E833D02A8C9A62929</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30EF5FAF0D78713600D9CF74F3CDAAA604D4B36AD615BF92A766B97E500523B5</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221D55B10782CE02303351AA7A87EA51</vt:lpwstr>
  </property>
  <property fmtid="{D5CDD505-2E9C-101B-9397-08002B2CF9AE}" pid="33" name="PM_Hash_Salt">
    <vt:lpwstr>9896EC59F13DA0517F2769CA9638BE9F</vt:lpwstr>
  </property>
  <property fmtid="{D5CDD505-2E9C-101B-9397-08002B2CF9AE}" pid="34" name="PM_Hash_SHA1">
    <vt:lpwstr>70DF8FA7BCC40B4528BB174560E5D5D75D3D8501</vt:lpwstr>
  </property>
  <property fmtid="{D5CDD505-2E9C-101B-9397-08002B2CF9AE}" pid="35" name="ContentTypeId">
    <vt:lpwstr>0x010100FB7776D50AC9C9429F45CBB78018DFD0</vt:lpwstr>
  </property>
</Properties>
</file>