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5FC9E" w14:textId="0991B994" w:rsidR="0023679E" w:rsidRDefault="00A15133">
      <w:pPr>
        <w:rPr>
          <w:b/>
          <w:bCs/>
        </w:rPr>
      </w:pPr>
      <w:r w:rsidRPr="00A15133">
        <w:rPr>
          <w:b/>
          <w:bCs/>
        </w:rPr>
        <w:t>Homicide at Home Research Team, Melbourne School of Population and Global Health</w:t>
      </w:r>
    </w:p>
    <w:p w14:paraId="458B8A29" w14:textId="070A18DF" w:rsidR="00A15133" w:rsidRDefault="00A15133">
      <w:pPr>
        <w:rPr>
          <w:b/>
          <w:bCs/>
        </w:rPr>
      </w:pPr>
      <w:r w:rsidRPr="00A15133">
        <w:rPr>
          <w:b/>
          <w:bCs/>
        </w:rPr>
        <w:t>Feedback for Priority Area 3: Children and young people in their own right</w:t>
      </w:r>
    </w:p>
    <w:p w14:paraId="414F7BFE" w14:textId="200E067A" w:rsidR="00A15133" w:rsidRDefault="00A15133" w:rsidP="00A15133">
      <w:r>
        <w:t xml:space="preserve">Consultation questions </w:t>
      </w:r>
    </w:p>
    <w:p w14:paraId="4606F942" w14:textId="551B2839" w:rsidR="00A15133" w:rsidRDefault="00A15133" w:rsidP="00A15133">
      <w:r>
        <w:t xml:space="preserve">What would make the biggest difference to improving safety, recovery and wellbeing outcomes for children and young people affected by this violence? </w:t>
      </w:r>
    </w:p>
    <w:p w14:paraId="3B104A7F" w14:textId="0DE2EB80" w:rsidR="00A15133" w:rsidRDefault="00A15133" w:rsidP="00A15133">
      <w:r>
        <w:t xml:space="preserve">The Second Action Plan should explicitly recognise children and young people bereaved by domestic and family violence-related fatalities (including intimate partner homicide, filicide and domestic violence-related suicide) as a distinct cohort of victim-survivors with unique and ongoing support needs. </w:t>
      </w:r>
    </w:p>
    <w:p w14:paraId="4A35068C" w14:textId="55714A57" w:rsidR="00A15133" w:rsidRDefault="00A15133" w:rsidP="00A15133">
      <w:r>
        <w:t>Although preventing domestic and family violence remains a key priority, fatalities continue to occur and expose children to multiple, compounding losses. In addition to the death of a parent, many children lose their remaining parent through imprisonment, suicide or criminal proceedings, while simultaneously experiencing disruption to their home, education, caregiving arrangements and social support networks. Evidence demonstrates that domestic homicide is associated with substantial and enduring impacts on children's psychological, social, physical and educational outcomes (</w:t>
      </w:r>
      <w:proofErr w:type="spellStart"/>
      <w:r>
        <w:t>Alisic</w:t>
      </w:r>
      <w:proofErr w:type="spellEnd"/>
      <w:r>
        <w:t xml:space="preserve"> et al., 2015). </w:t>
      </w:r>
    </w:p>
    <w:p w14:paraId="6171C23F" w14:textId="763DD853" w:rsidR="00A15133" w:rsidRDefault="00A15133" w:rsidP="00A15133">
      <w:r>
        <w:t>Recent Australian research demonstrates that bereavement through domestic homicide is a distinct form of complex developmental trauma requiring coordinated, long-term support (</w:t>
      </w:r>
      <w:proofErr w:type="spellStart"/>
      <w:r>
        <w:t>Alisic</w:t>
      </w:r>
      <w:proofErr w:type="spellEnd"/>
      <w:r>
        <w:t xml:space="preserve"> et al., 2023). Children and young people consistently report fragmented service responses, inconsistent access to trauma and grief informed care, limited support for caregivers, repeated retelling of traumatic experiences, and limited opportunities to participate in decisions affecting their lives (</w:t>
      </w:r>
      <w:proofErr w:type="spellStart"/>
      <w:r>
        <w:t>Alisic</w:t>
      </w:r>
      <w:proofErr w:type="spellEnd"/>
      <w:r>
        <w:t xml:space="preserve"> et al., 2023; Eastwood et al., 2024; Chavez et al., 2024; </w:t>
      </w:r>
      <w:proofErr w:type="spellStart"/>
      <w:r>
        <w:t>Sakthiakumaran</w:t>
      </w:r>
      <w:proofErr w:type="spellEnd"/>
      <w:r>
        <w:t xml:space="preserve"> et al., 2026). These findings indicate that post-homicide system responses do not meet children's recovery needs, and that support remains fragmented across the family violence, justice, child protection, health and education sectors. </w:t>
      </w:r>
    </w:p>
    <w:p w14:paraId="7FD9CD71" w14:textId="3DA0D77F" w:rsidR="00A15133" w:rsidRDefault="00A15133" w:rsidP="00A15133">
      <w:r>
        <w:t xml:space="preserve">Despite these complex needs, Australia does not routinely collect national data on children affected by domestic and family violence-related fatalities, limiting service planning, policy development and evaluation. There is also no nationally coordinated service model or consistent policy framework to support this cohort, resulting in substantial variation in service access and outcomes across jurisdictions. </w:t>
      </w:r>
    </w:p>
    <w:p w14:paraId="0913089F" w14:textId="5E77F9FA" w:rsidR="00A15133" w:rsidRDefault="00A15133" w:rsidP="00A15133">
      <w:r>
        <w:t xml:space="preserve">Taken together, the evidence indicates the need for an integrated, child-centred and long-term response to improve recovery and reduce adverse lifelong outcomes. </w:t>
      </w:r>
    </w:p>
    <w:p w14:paraId="3A3E6C51" w14:textId="77777777" w:rsidR="00A15133" w:rsidRDefault="00A15133" w:rsidP="00A15133">
      <w:r>
        <w:t xml:space="preserve">Recommendations </w:t>
      </w:r>
    </w:p>
    <w:p w14:paraId="4AF3D7E2" w14:textId="3BBDD9AA" w:rsidR="00A15133" w:rsidRDefault="00A15133" w:rsidP="00A15133">
      <w:r>
        <w:lastRenderedPageBreak/>
        <w:t xml:space="preserve">Explicitly recognise children bereaved by domestic and family violence-related fatalities as a priority cohort within the National Plan. </w:t>
      </w:r>
    </w:p>
    <w:p w14:paraId="33BB8B21" w14:textId="7D543388" w:rsidR="00A15133" w:rsidRDefault="00A15133" w:rsidP="00A15133">
      <w:r>
        <w:t xml:space="preserve">Establish national data collection and reporting on children affected by domestic and family violence-related fatalities to inform policy, service planning and evaluation. </w:t>
      </w:r>
    </w:p>
    <w:p w14:paraId="597FC868" w14:textId="2249F460" w:rsidR="00A15133" w:rsidRDefault="00A15133" w:rsidP="00A15133">
      <w:r>
        <w:t xml:space="preserve">Develop a nationally coordinated, multi-agency response following domestic and family violence-related fatalities that includes: </w:t>
      </w:r>
    </w:p>
    <w:p w14:paraId="0489B6ED" w14:textId="0A30C60B" w:rsidR="00A15133" w:rsidRDefault="00A15133" w:rsidP="00A15133">
      <w:r>
        <w:t xml:space="preserve">equitable access to long-term, trauma- and grief-informed therapeutic support </w:t>
      </w:r>
    </w:p>
    <w:p w14:paraId="26777ACC" w14:textId="0C2A4C32" w:rsidR="00A15133" w:rsidRDefault="00A15133" w:rsidP="00A15133">
      <w:r>
        <w:t xml:space="preserve">dedicated support for kinship carers, grandparents and other caregivers </w:t>
      </w:r>
    </w:p>
    <w:p w14:paraId="55EE7C2C" w14:textId="4DB9D67B" w:rsidR="00A15133" w:rsidRDefault="00A15133" w:rsidP="00A15133">
      <w:r>
        <w:t xml:space="preserve">meaningful involvement of children, young people, caregivers and people with lived experience in service design and evaluation </w:t>
      </w:r>
    </w:p>
    <w:p w14:paraId="6E38A9EB" w14:textId="4B685313" w:rsidR="00A15133" w:rsidRDefault="00A15133" w:rsidP="00A15133">
      <w:r>
        <w:t xml:space="preserve">dedicated peer support opportunities for children, young people and adults bereaved by domestic and family violence-related fatalities. </w:t>
      </w:r>
    </w:p>
    <w:p w14:paraId="163E5154" w14:textId="7C47E68D" w:rsidR="00A15133" w:rsidRDefault="00A15133" w:rsidP="00A15133">
      <w:r>
        <w:t xml:space="preserve">How can governments, services, education settings, families, communities and others better recognise and respond to children and young people experiencing violence or harm? </w:t>
      </w:r>
    </w:p>
    <w:p w14:paraId="1BD9211D" w14:textId="6D64A994" w:rsidR="00A15133" w:rsidRDefault="00A15133" w:rsidP="00A15133">
      <w:r>
        <w:t xml:space="preserve">Recognition begins by acknowledging children as </w:t>
      </w:r>
      <w:proofErr w:type="gramStart"/>
      <w:r>
        <w:t>victim-survivors in their own right, with</w:t>
      </w:r>
      <w:proofErr w:type="gramEnd"/>
      <w:r>
        <w:t xml:space="preserve"> distinct needs that extend beyond the immediate aftermath of violence. Research demonstrates that responses remain fragmented across police, justice, child protection, health and education systems, resulting in inconsistent support and poorer recovery outcomes (</w:t>
      </w:r>
      <w:proofErr w:type="spellStart"/>
      <w:r>
        <w:t>Alisic</w:t>
      </w:r>
      <w:proofErr w:type="spellEnd"/>
      <w:r>
        <w:t xml:space="preserve"> et al., 2023). </w:t>
      </w:r>
    </w:p>
    <w:p w14:paraId="419F4C9B" w14:textId="49CA846E" w:rsidR="00A15133" w:rsidRDefault="00A15133" w:rsidP="00A15133">
      <w:r>
        <w:t xml:space="preserve">Governments should strengthen coordinated, child-centred, rights-based practice by: </w:t>
      </w:r>
    </w:p>
    <w:p w14:paraId="2959DC33" w14:textId="79475EED" w:rsidR="00A15133" w:rsidRDefault="00A15133" w:rsidP="00A15133">
      <w:r>
        <w:t xml:space="preserve">Embedding child-centred, rights-based approaches across police, justice, health, education and child protection systems  </w:t>
      </w:r>
    </w:p>
    <w:p w14:paraId="6D3AC0D6" w14:textId="4211AAAD" w:rsidR="00A15133" w:rsidRDefault="00A15133" w:rsidP="00A15133">
      <w:r>
        <w:t xml:space="preserve">Establishing coordinated, multi-agency responses that provide continuity of support across childhood and adolescence  </w:t>
      </w:r>
    </w:p>
    <w:p w14:paraId="0E97FB6C" w14:textId="3ACD7D00" w:rsidR="00A15133" w:rsidRDefault="00A15133" w:rsidP="00A15133">
      <w:r>
        <w:t xml:space="preserve">Ensuring equitable access to trauma and grief-informed mental health services  </w:t>
      </w:r>
    </w:p>
    <w:p w14:paraId="2DB87194" w14:textId="78412DC8" w:rsidR="00A15133" w:rsidRDefault="00A15133" w:rsidP="00A15133">
      <w:r>
        <w:t xml:space="preserve">Supporting caregivers, including kinship carers and grandparents, recognising their critical role in children's recovery  </w:t>
      </w:r>
    </w:p>
    <w:p w14:paraId="05EC809C" w14:textId="7786481D" w:rsidR="00A15133" w:rsidRDefault="00A15133" w:rsidP="00A15133">
      <w:r>
        <w:t xml:space="preserve">Providing trauma-informed training and guidance for educators and frontline professionals  </w:t>
      </w:r>
    </w:p>
    <w:p w14:paraId="1583EE64" w14:textId="7589877A" w:rsidR="00A15133" w:rsidRDefault="00A15133" w:rsidP="00A15133">
      <w:r>
        <w:t xml:space="preserve">Resource dedicated peer support opportunities for children, young people and adults bereaved by domestic and family violence-related fatalities. </w:t>
      </w:r>
    </w:p>
    <w:p w14:paraId="015D2B81" w14:textId="77777777" w:rsidR="00A15133" w:rsidRDefault="00A15133" w:rsidP="00A15133"/>
    <w:p w14:paraId="6E5A97AD" w14:textId="77777777" w:rsidR="00A15133" w:rsidRDefault="00A15133" w:rsidP="00A15133">
      <w:r>
        <w:lastRenderedPageBreak/>
        <w:t xml:space="preserve">The design, implementation and evaluation of these recommendations should meaningfully involve children and young people, caregivers and people with lived experience to ensure policies and services are responsive to their needs and experiences. </w:t>
      </w:r>
    </w:p>
    <w:p w14:paraId="4B5D36CF" w14:textId="381F58C5" w:rsidR="00A15133" w:rsidRDefault="00A15133" w:rsidP="00A15133">
      <w:r>
        <w:t xml:space="preserve">How can children and young people be meaningfully involved in shaping the policies, programs and services that affect them? </w:t>
      </w:r>
    </w:p>
    <w:p w14:paraId="103AB685" w14:textId="259D4460" w:rsidR="00A15133" w:rsidRDefault="00A15133" w:rsidP="00A15133">
      <w:r>
        <w:t xml:space="preserve">Children and young people have the right to be actively involved in, and to influence, research, services and policies that affect their lives. Their involvement should be meaningful and recognised as an essential component of ethical and effective practice. </w:t>
      </w:r>
    </w:p>
    <w:p w14:paraId="3192FBB1" w14:textId="1D54E34E" w:rsidR="00A15133" w:rsidRDefault="00A15133" w:rsidP="00A15133">
      <w:r>
        <w:t xml:space="preserve">Efforts to involve children and young people must start from the understanding that they all have the capacity to form and express opinions, needs and priorities. It is the responsibility of adult institutions and service providers to seek and create ways to engage with them in ways that genuinely reflect their perspectives. </w:t>
      </w:r>
    </w:p>
    <w:p w14:paraId="02598C28" w14:textId="5CA0E54D" w:rsidR="00A15133" w:rsidRDefault="00A15133" w:rsidP="00A15133">
      <w:r>
        <w:t xml:space="preserve">Participation opportunities should be child- and young person-centred, trauma-informed and life-course-oriented. They must recognise changing needs and priorities across developmental stages, from early childhood through to young adulthood, and be designed to accommodate varied circumstances and communication styles. This includes children and young people living with disability, those who encounter barriers to expressing themselves, and those aged 18 and over who lack economic support. </w:t>
      </w:r>
    </w:p>
    <w:p w14:paraId="1D6AD15F" w14:textId="23899D21" w:rsidR="00A15133" w:rsidRDefault="00A15133" w:rsidP="00A15133">
      <w:r>
        <w:t xml:space="preserve">Research and service development must explicitly recognise that children and young people are victims of violence </w:t>
      </w:r>
      <w:proofErr w:type="gramStart"/>
      <w:r>
        <w:t>in their own right and</w:t>
      </w:r>
      <w:proofErr w:type="gramEnd"/>
      <w:r>
        <w:t xml:space="preserve"> respond accordingly. At the same time, some young people are themselves doing advocacy work within the domestic and family violence sector; those creating new participation spaces should deliberately seek to engage with and support these young advocates. </w:t>
      </w:r>
    </w:p>
    <w:p w14:paraId="5B5DDC84" w14:textId="715DD2E0" w:rsidR="00A15133" w:rsidRDefault="00A15133" w:rsidP="00A15133">
      <w:r>
        <w:t>Participation spaces must be culturally safe and child-</w:t>
      </w:r>
      <w:proofErr w:type="gramStart"/>
      <w:r>
        <w:t>safe, and</w:t>
      </w:r>
      <w:proofErr w:type="gramEnd"/>
      <w:r>
        <w:t xml:space="preserve"> should be designed to avoid siloed service delivery so that approaches are integrated and responsive. Finally, participation and lived-experience expertise from children, young people and carers are critical sources of evidence and must be properly recognised, supported and resourced. </w:t>
      </w:r>
    </w:p>
    <w:p w14:paraId="7B48880F" w14:textId="376FDE0D" w:rsidR="00A15133" w:rsidRDefault="00A15133" w:rsidP="00A15133">
      <w:r>
        <w:t xml:space="preserve">Recommendations </w:t>
      </w:r>
    </w:p>
    <w:p w14:paraId="79232062" w14:textId="59A66A2B" w:rsidR="00A15133" w:rsidRDefault="00A15133" w:rsidP="00A15133">
      <w:r>
        <w:t xml:space="preserve">Embed meaningful child and youth participation at a systems level  </w:t>
      </w:r>
    </w:p>
    <w:p w14:paraId="7B852249" w14:textId="6043DE78" w:rsidR="00A15133" w:rsidRDefault="00A15133" w:rsidP="00A15133">
      <w:r>
        <w:t xml:space="preserve">‘How do I tell my story? As an empowering story: Mum’s memory lives on in sharing that story, helping others survive.’ (Male, lost his mother to intimate partner homicide at 15 years old) </w:t>
      </w:r>
    </w:p>
    <w:p w14:paraId="3D814E65" w14:textId="77777777" w:rsidR="00A15133" w:rsidRDefault="00A15133" w:rsidP="00A15133"/>
    <w:p w14:paraId="702A9325" w14:textId="26BA7C2F" w:rsidR="00A15133" w:rsidRDefault="00A15133" w:rsidP="00A15133">
      <w:r>
        <w:lastRenderedPageBreak/>
        <w:t xml:space="preserve">‘[My story] is mine to share, not somebody else’s. Sharing your story can be an empowering thing. But if it’s taken away from you, you’re wrongfully judged and mistreated, or you’re forced to tell it in a certain way, then it’s disempowering. It’s about figuring out those times when it feels right. And then, it adds value to your life to tell it.’ (Female, lost her mother to intimate partner homicide at 8 years old). </w:t>
      </w:r>
    </w:p>
    <w:p w14:paraId="5F3ECCB0" w14:textId="5B3AE1B4" w:rsidR="00A15133" w:rsidRDefault="00A15133" w:rsidP="00A15133">
      <w:r>
        <w:t xml:space="preserve">Establish funded mechanisms that enable children and young people to shape policy, services and research at local, state and national levels.   </w:t>
      </w:r>
    </w:p>
    <w:p w14:paraId="271A7ED1" w14:textId="7CF18CEE" w:rsidR="00A15133" w:rsidRDefault="00A15133" w:rsidP="00A15133">
      <w:r>
        <w:t>Ensure participation is age</w:t>
      </w:r>
      <w:r>
        <w:rPr>
          <w:rFonts w:ascii="Cambria Math" w:hAnsi="Cambria Math" w:cs="Cambria Math"/>
        </w:rPr>
        <w:t>‑</w:t>
      </w:r>
      <w:r>
        <w:t xml:space="preserve">appropriate, culturally safe, creative and compliant with Child Safe Standards.   </w:t>
      </w:r>
    </w:p>
    <w:p w14:paraId="4962CC4D" w14:textId="59B87ECB" w:rsidR="00A15133" w:rsidRDefault="00A15133" w:rsidP="00A15133">
      <w:r>
        <w:t xml:space="preserve">Treat children as direct participants </w:t>
      </w:r>
      <w:proofErr w:type="gramStart"/>
      <w:r>
        <w:t>in their own right rather</w:t>
      </w:r>
      <w:proofErr w:type="gramEnd"/>
      <w:r>
        <w:t xml:space="preserve"> than assuming caregivers will represent their views and needs.   </w:t>
      </w:r>
    </w:p>
    <w:p w14:paraId="58159BA2" w14:textId="15E52729" w:rsidR="00A15133" w:rsidRDefault="00A15133" w:rsidP="00A15133">
      <w:r>
        <w:t>Allocate dedicated funding and workforce development to implement child</w:t>
      </w:r>
      <w:r>
        <w:rPr>
          <w:rFonts w:ascii="Cambria Math" w:hAnsi="Cambria Math" w:cs="Cambria Math"/>
        </w:rPr>
        <w:t>‑</w:t>
      </w:r>
      <w:r>
        <w:t>centred models and to sustain peer and lived</w:t>
      </w:r>
      <w:r>
        <w:rPr>
          <w:rFonts w:ascii="Cambria Math" w:hAnsi="Cambria Math" w:cs="Cambria Math"/>
        </w:rPr>
        <w:t>‑</w:t>
      </w:r>
      <w:r>
        <w:t xml:space="preserve">experience roles.   </w:t>
      </w:r>
    </w:p>
    <w:p w14:paraId="3F2DC3EB" w14:textId="131C1B93" w:rsidR="00A15133" w:rsidRDefault="00A15133" w:rsidP="00A15133">
      <w:r>
        <w:t>Monitor and evaluate participatory projects using child</w:t>
      </w:r>
      <w:r>
        <w:rPr>
          <w:rFonts w:ascii="Cambria Math" w:hAnsi="Cambria Math" w:cs="Cambria Math"/>
        </w:rPr>
        <w:t>‑</w:t>
      </w:r>
      <w:r>
        <w:t xml:space="preserve">centred indicators that reflect wellbeing, agency and meaningful engagement. </w:t>
      </w:r>
    </w:p>
    <w:p w14:paraId="55FDC6A3" w14:textId="385A9B69" w:rsidR="00A15133" w:rsidRDefault="00A15133" w:rsidP="00A15133">
      <w:r>
        <w:t>2. Adopt a child</w:t>
      </w:r>
      <w:r>
        <w:rPr>
          <w:rFonts w:ascii="Cambria Math" w:hAnsi="Cambria Math" w:cs="Cambria Math"/>
        </w:rPr>
        <w:t>‑</w:t>
      </w:r>
      <w:r>
        <w:t xml:space="preserve">centred and empowering approach to research and practice   </w:t>
      </w:r>
    </w:p>
    <w:p w14:paraId="03BA45B1" w14:textId="77777777" w:rsidR="00A15133" w:rsidRDefault="00A15133" w:rsidP="00A15133">
      <w:r>
        <w:t>‘I was there when it happened, so I went through so much of Court: ‘You’re here to tell the truth,</w:t>
      </w:r>
      <w:proofErr w:type="gramStart"/>
      <w:r>
        <w:t>’ they</w:t>
      </w:r>
      <w:proofErr w:type="gramEnd"/>
      <w:r>
        <w:t xml:space="preserve"> said. But I was just learning to talk, let alone understand all those big words.’ (Female, lost her mother to intimate partner homicide as an infant). </w:t>
      </w:r>
    </w:p>
    <w:p w14:paraId="4EED050B" w14:textId="0708F027" w:rsidR="00A15133" w:rsidRDefault="00A15133" w:rsidP="00A15133">
      <w:r>
        <w:t xml:space="preserve">‘I spend nearly every birthday in a </w:t>
      </w:r>
      <w:proofErr w:type="gramStart"/>
      <w:r>
        <w:t>prison,</w:t>
      </w:r>
      <w:proofErr w:type="gramEnd"/>
      <w:r>
        <w:t xml:space="preserve"> no one ever really asked me what I wanted. ‘We have to do what the Court ordered.’ I hated it. I never got a choice. You can’t hide kids from everything, they need to know what’s going on, they need to have a voice.’ (Female, lost her father to intimate partner homicide as a child).  </w:t>
      </w:r>
    </w:p>
    <w:p w14:paraId="486238E7" w14:textId="7CF1B5F2" w:rsidR="00A15133" w:rsidRDefault="00A15133" w:rsidP="00A15133">
      <w:r>
        <w:t xml:space="preserve">Support research that shares power with children and young people, uses creative and expressive tools, and prioritises validity through participation.   </w:t>
      </w:r>
    </w:p>
    <w:p w14:paraId="275A1938" w14:textId="5FDE0471" w:rsidR="00A15133" w:rsidRDefault="00A15133" w:rsidP="00A15133">
      <w:r>
        <w:t xml:space="preserve">Emphasise children’s strengths, knowledge and capabilities rather than framing them solely as vulnerable.   </w:t>
      </w:r>
    </w:p>
    <w:p w14:paraId="288896E3" w14:textId="635D42E2" w:rsidR="00A15133" w:rsidRDefault="00A15133" w:rsidP="00A15133">
      <w:r>
        <w:t>Frame co</w:t>
      </w:r>
      <w:r>
        <w:rPr>
          <w:rFonts w:ascii="Cambria Math" w:hAnsi="Cambria Math" w:cs="Cambria Math"/>
        </w:rPr>
        <w:t>‑</w:t>
      </w:r>
      <w:r>
        <w:t>design and participation as collaborative, power</w:t>
      </w:r>
      <w:r>
        <w:rPr>
          <w:rFonts w:ascii="Cambria Math" w:hAnsi="Cambria Math" w:cs="Cambria Math"/>
        </w:rPr>
        <w:t>‑</w:t>
      </w:r>
      <w:r>
        <w:t>sharing processes that move beyond one</w:t>
      </w:r>
      <w:r>
        <w:rPr>
          <w:rFonts w:ascii="Cambria Math" w:hAnsi="Cambria Math" w:cs="Cambria Math"/>
        </w:rPr>
        <w:t>‑</w:t>
      </w:r>
      <w:r>
        <w:t xml:space="preserve">off consultation and data extraction.   </w:t>
      </w:r>
    </w:p>
    <w:p w14:paraId="03683583" w14:textId="0BDBBE28" w:rsidR="00A15133" w:rsidRDefault="00A15133" w:rsidP="00A15133">
      <w:r>
        <w:t>Treat co</w:t>
      </w:r>
      <w:r>
        <w:rPr>
          <w:rFonts w:ascii="Cambria Math" w:hAnsi="Cambria Math" w:cs="Cambria Math"/>
        </w:rPr>
        <w:t>‑</w:t>
      </w:r>
      <w:r>
        <w:t>design as ongoing co</w:t>
      </w:r>
      <w:r>
        <w:rPr>
          <w:rFonts w:ascii="Cambria Math" w:hAnsi="Cambria Math" w:cs="Cambria Math"/>
        </w:rPr>
        <w:t>‑</w:t>
      </w:r>
      <w:r>
        <w:t>creation: co</w:t>
      </w:r>
      <w:r>
        <w:rPr>
          <w:rFonts w:ascii="Cambria Math" w:hAnsi="Cambria Math" w:cs="Cambria Math"/>
        </w:rPr>
        <w:t>‑</w:t>
      </w:r>
      <w:r>
        <w:t>planning, co</w:t>
      </w:r>
      <w:r>
        <w:rPr>
          <w:rFonts w:ascii="Cambria Math" w:hAnsi="Cambria Math" w:cs="Cambria Math"/>
        </w:rPr>
        <w:t>‑</w:t>
      </w:r>
      <w:r>
        <w:t>research, co</w:t>
      </w:r>
      <w:r>
        <w:rPr>
          <w:rFonts w:ascii="Cambria Math" w:hAnsi="Cambria Math" w:cs="Cambria Math"/>
        </w:rPr>
        <w:t>‑</w:t>
      </w:r>
      <w:r>
        <w:t>implementation and co</w:t>
      </w:r>
      <w:r>
        <w:rPr>
          <w:rFonts w:ascii="Cambria Math" w:hAnsi="Cambria Math" w:cs="Cambria Math"/>
        </w:rPr>
        <w:t>‑</w:t>
      </w:r>
      <w:r>
        <w:t xml:space="preserve">evaluation. </w:t>
      </w:r>
    </w:p>
    <w:p w14:paraId="6AA0CD5C" w14:textId="081AC725" w:rsidR="00A15133" w:rsidRDefault="00A15133" w:rsidP="00A15133">
      <w:r>
        <w:t xml:space="preserve">Embed structural mechanisms (policies, guidelines, record keeping, monitoring and evaluation systems) to ensure that children and young people are being listened to manage the risk of tokenistic approaches. </w:t>
      </w:r>
    </w:p>
    <w:p w14:paraId="2556E2E8" w14:textId="06569C47" w:rsidR="00A15133" w:rsidRDefault="00A15133" w:rsidP="00A15133">
      <w:r>
        <w:lastRenderedPageBreak/>
        <w:t>3. Adopt a life</w:t>
      </w:r>
      <w:r>
        <w:rPr>
          <w:rFonts w:ascii="Cambria Math" w:hAnsi="Cambria Math" w:cs="Cambria Math"/>
        </w:rPr>
        <w:t>‑</w:t>
      </w:r>
      <w:r>
        <w:t xml:space="preserve">course approach to meaningful participation   </w:t>
      </w:r>
    </w:p>
    <w:p w14:paraId="37AB578E" w14:textId="1DE99135" w:rsidR="00A15133" w:rsidRPr="00A15133" w:rsidRDefault="00A15133" w:rsidP="00A15133">
      <w:r>
        <w:t xml:space="preserve">‘I feel a lot better about speaking about it now: look where I am today. I have my family, I’m healthy, I’m alive. I am still learning to cope, and I forever will be still coping. But it’s always </w:t>
      </w:r>
      <w:proofErr w:type="spellStart"/>
      <w:r>
        <w:t>gonna</w:t>
      </w:r>
      <w:proofErr w:type="spellEnd"/>
      <w:r>
        <w:t xml:space="preserve"> be the hardest thing I’ll ever have to do in my </w:t>
      </w:r>
      <w:proofErr w:type="spellStart"/>
      <w:r>
        <w:t>wh</w:t>
      </w:r>
      <w:proofErr w:type="spellEnd"/>
    </w:p>
    <w:sectPr w:rsidR="00A15133" w:rsidRPr="00A151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133"/>
    <w:rsid w:val="00022A23"/>
    <w:rsid w:val="0023679E"/>
    <w:rsid w:val="005724C3"/>
    <w:rsid w:val="00A15133"/>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EE75E"/>
  <w15:chartTrackingRefBased/>
  <w15:docId w15:val="{025CFC8E-8117-4722-A5B6-9DECBFA32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51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1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1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1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1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1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1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1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1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1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1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1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1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1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1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1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1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133"/>
    <w:rPr>
      <w:rFonts w:eastAsiaTheme="majorEastAsia" w:cstheme="majorBidi"/>
      <w:color w:val="272727" w:themeColor="text1" w:themeTint="D8"/>
    </w:rPr>
  </w:style>
  <w:style w:type="paragraph" w:styleId="Title">
    <w:name w:val="Title"/>
    <w:basedOn w:val="Normal"/>
    <w:next w:val="Normal"/>
    <w:link w:val="TitleChar"/>
    <w:uiPriority w:val="10"/>
    <w:qFormat/>
    <w:rsid w:val="00A151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1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1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1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133"/>
    <w:pPr>
      <w:spacing w:before="160"/>
      <w:jc w:val="center"/>
    </w:pPr>
    <w:rPr>
      <w:i/>
      <w:iCs/>
      <w:color w:val="404040" w:themeColor="text1" w:themeTint="BF"/>
    </w:rPr>
  </w:style>
  <w:style w:type="character" w:customStyle="1" w:styleId="QuoteChar">
    <w:name w:val="Quote Char"/>
    <w:basedOn w:val="DefaultParagraphFont"/>
    <w:link w:val="Quote"/>
    <w:uiPriority w:val="29"/>
    <w:rsid w:val="00A15133"/>
    <w:rPr>
      <w:i/>
      <w:iCs/>
      <w:color w:val="404040" w:themeColor="text1" w:themeTint="BF"/>
    </w:rPr>
  </w:style>
  <w:style w:type="paragraph" w:styleId="ListParagraph">
    <w:name w:val="List Paragraph"/>
    <w:basedOn w:val="Normal"/>
    <w:uiPriority w:val="34"/>
    <w:qFormat/>
    <w:rsid w:val="00A15133"/>
    <w:pPr>
      <w:ind w:left="720"/>
      <w:contextualSpacing/>
    </w:pPr>
  </w:style>
  <w:style w:type="character" w:styleId="IntenseEmphasis">
    <w:name w:val="Intense Emphasis"/>
    <w:basedOn w:val="DefaultParagraphFont"/>
    <w:uiPriority w:val="21"/>
    <w:qFormat/>
    <w:rsid w:val="00A15133"/>
    <w:rPr>
      <w:i/>
      <w:iCs/>
      <w:color w:val="0F4761" w:themeColor="accent1" w:themeShade="BF"/>
    </w:rPr>
  </w:style>
  <w:style w:type="paragraph" w:styleId="IntenseQuote">
    <w:name w:val="Intense Quote"/>
    <w:basedOn w:val="Normal"/>
    <w:next w:val="Normal"/>
    <w:link w:val="IntenseQuoteChar"/>
    <w:uiPriority w:val="30"/>
    <w:qFormat/>
    <w:rsid w:val="00A151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133"/>
    <w:rPr>
      <w:i/>
      <w:iCs/>
      <w:color w:val="0F4761" w:themeColor="accent1" w:themeShade="BF"/>
    </w:rPr>
  </w:style>
  <w:style w:type="character" w:styleId="IntenseReference">
    <w:name w:val="Intense Reference"/>
    <w:basedOn w:val="DefaultParagraphFont"/>
    <w:uiPriority w:val="32"/>
    <w:qFormat/>
    <w:rsid w:val="00A151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14FF91-4033-41B3-9CF2-13DC8361969A}"/>
</file>

<file path=customXml/itemProps2.xml><?xml version="1.0" encoding="utf-8"?>
<ds:datastoreItem xmlns:ds="http://schemas.openxmlformats.org/officeDocument/2006/customXml" ds:itemID="{8AECB967-783F-4578-979E-D8A097396DD8}"/>
</file>

<file path=customXml/itemProps3.xml><?xml version="1.0" encoding="utf-8"?>
<ds:datastoreItem xmlns:ds="http://schemas.openxmlformats.org/officeDocument/2006/customXml" ds:itemID="{8135E8D5-2F95-42CC-A6EF-D11E2ED68A4A}"/>
</file>

<file path=docProps/app.xml><?xml version="1.0" encoding="utf-8"?>
<Properties xmlns="http://schemas.openxmlformats.org/officeDocument/2006/extended-properties" xmlns:vt="http://schemas.openxmlformats.org/officeDocument/2006/docPropsVTypes">
  <Template>Normal.dotm</Template>
  <TotalTime>2</TotalTime>
  <Pages>5</Pages>
  <Words>1500</Words>
  <Characters>8552</Characters>
  <Application>Microsoft Office Word</Application>
  <DocSecurity>0</DocSecurity>
  <Lines>71</Lines>
  <Paragraphs>20</Paragraphs>
  <ScaleCrop>false</ScaleCrop>
  <Company/>
  <LinksUpToDate>false</LinksUpToDate>
  <CharactersWithSpaces>10032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2026-09-07T01:06:00Z</dcterms:created>
  <dcterms:modified xsi:type="dcterms:W3CDTF">2026-09-07T01:08:00Z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