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A2E87" w14:textId="5BF4E1EA" w:rsidR="0023679E" w:rsidRDefault="0047427D">
      <w:pPr>
        <w:rPr>
          <w:b/>
          <w:bCs/>
        </w:rPr>
      </w:pPr>
      <w:r w:rsidRPr="0047427D">
        <w:rPr>
          <w:b/>
          <w:bCs/>
        </w:rPr>
        <w:t>Hunter Valley Family Law Practitioners Association</w:t>
      </w:r>
    </w:p>
    <w:p w14:paraId="77426404" w14:textId="042E6971" w:rsidR="0047427D" w:rsidRDefault="0047427D">
      <w:pPr>
        <w:rPr>
          <w:b/>
          <w:bCs/>
        </w:rPr>
      </w:pPr>
      <w:r w:rsidRPr="0047427D">
        <w:rPr>
          <w:b/>
          <w:bCs/>
        </w:rPr>
        <w:t>Feedback for Priority Area 1: Victim-survivors</w:t>
      </w:r>
    </w:p>
    <w:p w14:paraId="44E06780" w14:textId="0AF603CE" w:rsidR="0047427D" w:rsidRDefault="0047427D" w:rsidP="0047427D">
      <w:r>
        <w:t xml:space="preserve">Access to therapeutic counselling and mental health support as well as intensive one on one case-work support is critical. A strong, functional and cohesive legal system and Court system is essential in ensuring the safety, wellbeing and recovery of victim-survivors. This includes both the criminal/ADVO system and the family law system. </w:t>
      </w:r>
    </w:p>
    <w:p w14:paraId="6FEF77C2" w14:textId="77777777" w:rsidR="0047427D" w:rsidRDefault="0047427D" w:rsidP="0047427D">
      <w:r>
        <w:t xml:space="preserve">Those working within the family violence and/or family law industry, particularly those in the not-for-profit sector such as Legal Aid and community legal centres are critically underfunded and under-resourced. As a </w:t>
      </w:r>
      <w:proofErr w:type="gramStart"/>
      <w:r>
        <w:t>result</w:t>
      </w:r>
      <w:proofErr w:type="gramEnd"/>
      <w:r>
        <w:t xml:space="preserve"> they have had to make unprecedented cuts to services. Legal Aid NSW advised on 14 May 2026 they will be limiting funding in family law matters to only indigenous people or victims of family violence, effective from 1 July 2026. Legal Aid pay rates in NSW have increased by only $45 an hour in the last 15 years, meanwhile standard private rates for family lawyers have increased by approximately $300 an hour in the last 15 years. 70% of Legal Aid family law work in NSW is done by private practitioners, generally small businesses who have significant operating costs. Legal Aid needs an increase in funding to enable their private practitioners to continue to be able to do this critical work.</w:t>
      </w:r>
    </w:p>
    <w:p w14:paraId="50D23AA5" w14:textId="77777777" w:rsidR="0047427D" w:rsidRDefault="0047427D" w:rsidP="0047427D">
      <w:r>
        <w:t xml:space="preserve">The Second Action Plan Consultation Paper (“the consultation paper”) outlines that more cases involving family violence are being taken to Court than previously. This has certainly been noticed in the family law jurisdiction, with Federal Circuit &amp; Family Court statistics indicating 86% of matters involve allegations of family violence towards a party and 81% involve allegations of family violence against a child. However, without adequate Legal Aid funding, Legal Aid lawyers will become a scarce resource, as will the Legal Aid grants themselves. The effect of this will likely be a downturn in the number of cases involving family violence that are being taken to Court, not because the prevalence of violence is declining, but because the ability for the victims to bring the matters to Court is being decimated. </w:t>
      </w:r>
    </w:p>
    <w:p w14:paraId="2C20BECF" w14:textId="77777777" w:rsidR="0047427D" w:rsidRDefault="0047427D" w:rsidP="0047427D">
      <w:r>
        <w:t xml:space="preserve">Significant barriers to people accessing services are often financial and geographical. It is estimated that the cost of escaping domestic and family violence has increased by 71% in ten years (Anglicare Sydney, reported to Cheek Media, 2026). This is only compounded by the current cost of living crisis. One of the highest costs in fleeing is likely legal assistance. If Legal Aid funding was increased more people would be able to access legal support, as there would be more practitioners willing and able to do the work. This would result in a reduction in waitlists and delays in obtaining legal assistance. </w:t>
      </w:r>
    </w:p>
    <w:p w14:paraId="7F44D021" w14:textId="77777777" w:rsidR="0047427D" w:rsidRDefault="0047427D" w:rsidP="0047427D">
      <w:r>
        <w:t xml:space="preserve">The consultation paper outlines that those in rural and remote areas experience greater difficulty in accessing services and getting support. In rural and remote areas there are significantly fewer Legal Aid lawyers practicing in family law and family violence. This </w:t>
      </w:r>
      <w:r>
        <w:lastRenderedPageBreak/>
        <w:t>means clients are having to travel further distances, or lawyers are having to travel great distances, often not compensated by Legal Aid for the travel. An increase in funding would enable more lawyers to conduct this travel and may also encourage more lawyers to opt in to doing legal aid work. Access to services and support in rural and remote areas also significantly disadvantages indigenous Australians. ATSI women and girls are 27 times more likely to be hospitalised due to domestic violence and 7 times more likely to be victims of femicide (Australian Institute for Health and Welfare, 2026).</w:t>
      </w:r>
    </w:p>
    <w:p w14:paraId="0DF18664" w14:textId="77777777" w:rsidR="0047427D" w:rsidRDefault="0047427D" w:rsidP="0047427D">
      <w:r>
        <w:t xml:space="preserve">The cuts to Legal Aid funding will leave many vulnerable and disadvantaged demographics without the ability to access legal representation in family law matters. These demographics include, but are not limited to, people from culturally diverse backgrounds, people for whom English is not their first language, disabled people and the elderly. Women with a disability are approximately 40% more likely to experience family violence (People </w:t>
      </w:r>
      <w:proofErr w:type="gramStart"/>
      <w:r>
        <w:t>With</w:t>
      </w:r>
      <w:proofErr w:type="gramEnd"/>
      <w:r>
        <w:t xml:space="preserve"> a Disability Australia, 2023). </w:t>
      </w:r>
    </w:p>
    <w:p w14:paraId="3C202C26" w14:textId="4C8AFC18" w:rsidR="0047427D" w:rsidRDefault="0047427D" w:rsidP="0047427D">
      <w:r>
        <w:t xml:space="preserve">Whilst, at present, funding will remain for disadvantaged people if they are indigenous and/or victims of family violence, what we know about victims is they so often do not initially disclose the violence they have endured, or the true extent of that violence. The significant risk is that victim-survivors will then be left without legal aid funding and without the ability to access legal assistance. Access to legal assistance particularly affects victims of family violence as often financial abuse and control (including withholding of any income or financial </w:t>
      </w:r>
      <w:proofErr w:type="gramStart"/>
      <w:r>
        <w:t>resources, or</w:t>
      </w:r>
      <w:proofErr w:type="gramEnd"/>
      <w:r>
        <w:t xml:space="preserve"> restricting their ability to work) is part of the dynamic of abuse and the perpetrator’s toolkit. As a result, Legal Aid funding is often the only financial mechanism by which victim-survivors can access legal assistance.</w:t>
      </w:r>
    </w:p>
    <w:p w14:paraId="6CDAF27F" w14:textId="20E9661E" w:rsidR="0047427D" w:rsidRDefault="0047427D" w:rsidP="0047427D">
      <w:pPr>
        <w:rPr>
          <w:b/>
          <w:bCs/>
        </w:rPr>
      </w:pPr>
      <w:r w:rsidRPr="0047427D">
        <w:rPr>
          <w:b/>
          <w:bCs/>
        </w:rPr>
        <w:t>Feedback for Priority Area 2: Prevention and early intervention</w:t>
      </w:r>
    </w:p>
    <w:p w14:paraId="3A033FE3" w14:textId="376D0FE1" w:rsidR="0047427D" w:rsidRDefault="0047427D" w:rsidP="0047427D">
      <w:r>
        <w:t>An increase in the availability and awareness of education programs and courses, such as Men’s Behaviour Change Programs and Shark Cage programs will assist in targeting and preventing family violence. However, one of the most dangerous times for a victim is when they leave. Early intervention and prevention strategies are just as necessary then.</w:t>
      </w:r>
    </w:p>
    <w:p w14:paraId="29B6B338" w14:textId="77777777" w:rsidR="0047427D" w:rsidRDefault="0047427D" w:rsidP="0047427D">
      <w:r>
        <w:t xml:space="preserve">In family law there has been a significant increase in the number of clients utilising early intervention strategies such as mediation and family dispute resolution to resolve their legal disputes, including matters where family violence is prevalent. The increase in the use of technology, particularly video conferencing, has made this possible, as it means victim-survivors can safely participate in mediation from the comfort of their own home or their lawyer’s office, without any fear or risk of seeing or being around the perpetrator. </w:t>
      </w:r>
    </w:p>
    <w:p w14:paraId="61063752" w14:textId="77777777" w:rsidR="0047427D" w:rsidRDefault="0047427D" w:rsidP="0047427D">
      <w:proofErr w:type="gramStart"/>
      <w:r>
        <w:t>However</w:t>
      </w:r>
      <w:proofErr w:type="gramEnd"/>
      <w:r>
        <w:t xml:space="preserve"> services that are focused on early intervention and family dispute resolution, such as Relationships Australia, Interrelate, Uniting and Community Legal Centres are also facing significant funding and availability issues. As a </w:t>
      </w:r>
      <w:proofErr w:type="gramStart"/>
      <w:r>
        <w:t>result</w:t>
      </w:r>
      <w:proofErr w:type="gramEnd"/>
      <w:r>
        <w:t xml:space="preserve"> courses and early </w:t>
      </w:r>
      <w:r>
        <w:lastRenderedPageBreak/>
        <w:t xml:space="preserve">intervention programs are </w:t>
      </w:r>
      <w:proofErr w:type="gramStart"/>
      <w:r>
        <w:t>ran</w:t>
      </w:r>
      <w:proofErr w:type="gramEnd"/>
      <w:r>
        <w:t xml:space="preserve"> infrequently and waitlists are long, there are significant delays for Government funded mediation services and anecdotally community legal centres are only able to conduct on average 2 mediations a week. </w:t>
      </w:r>
    </w:p>
    <w:p w14:paraId="468525AC" w14:textId="77777777" w:rsidR="0047427D" w:rsidRDefault="0047427D" w:rsidP="0047427D">
      <w:r>
        <w:t xml:space="preserve">Legal Aid NSW also operates an early intervention family dispute resolution service, primarily conducted by their external practitioners. Legal Aid NSW is </w:t>
      </w:r>
      <w:proofErr w:type="gramStart"/>
      <w:r>
        <w:t>actually the</w:t>
      </w:r>
      <w:proofErr w:type="gramEnd"/>
      <w:r>
        <w:t xml:space="preserve"> largest provider of lawyer assisted family dispute resolution in Australia and has a good success rate with approximately 73% of matters resolving through Legal Aid mediations (Legal Aid NSW Annual Report, 2024-2025). </w:t>
      </w:r>
      <w:proofErr w:type="gramStart"/>
      <w:r>
        <w:t>However</w:t>
      </w:r>
      <w:proofErr w:type="gramEnd"/>
      <w:r>
        <w:t xml:space="preserve"> only a limited number of lawyers and a limited number of mediators are prepared to do this work, due to the low rate of pay, resulting in significant delays. Anecdotally current timeframes for clients seeking legal aid assistance for family law mediation is up to 9 months, from the date the legal aid application is submitted, to the date the final mediation occurs. This is far too long and could potentially escalate the violence and render the victim and children at heightened risk. </w:t>
      </w:r>
    </w:p>
    <w:p w14:paraId="4323E8B5" w14:textId="78F05801" w:rsidR="0047427D" w:rsidRDefault="0047427D" w:rsidP="0047427D">
      <w:r>
        <w:t xml:space="preserve">There is often a misapprehension that mediation isn’t suitable or it’s unsafe if there has been family violence. On the contrary, mediation can </w:t>
      </w:r>
      <w:proofErr w:type="gramStart"/>
      <w:r>
        <w:t>actually assist</w:t>
      </w:r>
      <w:proofErr w:type="gramEnd"/>
      <w:r>
        <w:t xml:space="preserve"> in improving and increasing safety, by enabling victims and children to have a legal framework (by way of Court Orders) to manage any risks posed by the perpetrator. </w:t>
      </w:r>
      <w:proofErr w:type="gramStart"/>
      <w:r>
        <w:t>However</w:t>
      </w:r>
      <w:proofErr w:type="gramEnd"/>
      <w:r>
        <w:t xml:space="preserve"> this only works if this framework can be achieved early on. An increase in funding for Legal Aid and other Government funded early intervention and mediation services will assist to address this.</w:t>
      </w:r>
    </w:p>
    <w:p w14:paraId="1F5B6706" w14:textId="3EC266EE" w:rsidR="0047427D" w:rsidRDefault="0047427D" w:rsidP="0047427D">
      <w:pPr>
        <w:rPr>
          <w:b/>
          <w:bCs/>
        </w:rPr>
      </w:pPr>
      <w:r w:rsidRPr="0047427D">
        <w:rPr>
          <w:b/>
          <w:bCs/>
        </w:rPr>
        <w:t>Feedback for Priority Area 3: Children and young people in their own right</w:t>
      </w:r>
    </w:p>
    <w:p w14:paraId="7F5D9564" w14:textId="33CB9DB6" w:rsidR="0047427D" w:rsidRDefault="0047427D" w:rsidP="0047427D">
      <w:r>
        <w:t xml:space="preserve">A key factor to ensure the safety and protection of children from family violence is children’s advocates in litigation. In the family law </w:t>
      </w:r>
      <w:proofErr w:type="gramStart"/>
      <w:r>
        <w:t>system</w:t>
      </w:r>
      <w:proofErr w:type="gramEnd"/>
      <w:r>
        <w:t xml:space="preserve"> an independent children’s lawyer (ICL) is usually appointed in cases involving significant family violence. In the 2024-2025 financial year over 7,000 ICL appointments were made by the Federal Circuit and Family Court (FCFCOA) (National Legal Aid Media Release, 2026). ICLs provide the children a voice in the proceedings and prioritise their best interests and safety. They are the only party in family law proceedings whose entire focus and priority is the best interests and safety of the children, as parents and adults caught in the fray of family law litigation can often lose sight of this and become focused on their perceived rights. </w:t>
      </w:r>
    </w:p>
    <w:p w14:paraId="4439112B" w14:textId="77777777" w:rsidR="0047427D" w:rsidRDefault="0047427D" w:rsidP="0047427D">
      <w:r>
        <w:t xml:space="preserve">ICLs issue Subpoenas and review Subpoena material, make enquiries with other services and organisations involved with the family as to the children’s welfare, and they meet with the children to hear and understand their thoughts, feelings and concerns. </w:t>
      </w:r>
      <w:proofErr w:type="gramStart"/>
      <w:r>
        <w:t>Often</w:t>
      </w:r>
      <w:proofErr w:type="gramEnd"/>
      <w:r>
        <w:t xml:space="preserve"> they are the only people involved in the family law matter doing these things. These things are what protect children from risk and family violence. When children experience risk, abuse and family violence, they have poorer outcomes. They may be less likely to perform well in school, they can struggle socially, their mental and physical </w:t>
      </w:r>
      <w:r>
        <w:lastRenderedPageBreak/>
        <w:t xml:space="preserve">health can be impacted, and in some </w:t>
      </w:r>
      <w:proofErr w:type="gramStart"/>
      <w:r>
        <w:t>cases</w:t>
      </w:r>
      <w:proofErr w:type="gramEnd"/>
      <w:r>
        <w:t xml:space="preserve"> they may find themselves in the out of home care system or the youth justice system. ICLs do work to safeguard against and prevent these outcomes. </w:t>
      </w:r>
      <w:proofErr w:type="gramStart"/>
      <w:r>
        <w:t>Unfortunately</w:t>
      </w:r>
      <w:proofErr w:type="gramEnd"/>
      <w:r>
        <w:t xml:space="preserve"> the work of the ICL has always been critically underfunded, with most ICL matters involving at least 10 but sometimes upwards of 30 hours of unpaid work due to funding caps. </w:t>
      </w:r>
    </w:p>
    <w:p w14:paraId="5C547191" w14:textId="77777777" w:rsidR="0047427D" w:rsidRDefault="0047427D" w:rsidP="0047427D">
      <w:r>
        <w:t xml:space="preserve">Dr Warren Mundy’s independent review of the National Legal Assistance Partnership recommended that additional funding for ICLs be provided, in addition to further funding for legal aid generally. </w:t>
      </w:r>
      <w:proofErr w:type="gramStart"/>
      <w:r>
        <w:t>However</w:t>
      </w:r>
      <w:proofErr w:type="gramEnd"/>
      <w:r>
        <w:t xml:space="preserve"> in the National Access to Justice Partnership this recommendation was not followed. Adherence to this recommendation would assist to ensure ICLs can remain involved in matters throughout the entirety of the matter. </w:t>
      </w:r>
    </w:p>
    <w:p w14:paraId="2E95A470" w14:textId="77777777" w:rsidR="0047427D" w:rsidRDefault="0047427D" w:rsidP="0047427D">
      <w:r>
        <w:t xml:space="preserve">Following the federal budget, which did not provide adequate funding, Legal Aid NSW has announced that effective from 1 January 2027 ICLs will not be funded to appear at Final Hearings unless one or more of the parties is self-represented. This will result in multiple children each year losing their voice in the Court proceedings that decide their entire childhood and in multiple children each year being more unsafe and at risk of neglect, violence and abuse. </w:t>
      </w:r>
    </w:p>
    <w:p w14:paraId="3DD23195" w14:textId="77777777" w:rsidR="0047427D" w:rsidRDefault="0047427D" w:rsidP="0047427D">
      <w:r>
        <w:t xml:space="preserve">Section 68LA of the Family Law Act sets out the obligations of the ICL. The ICL is to act in accordance with the child/children’s best interests, meet with the child/children, ensure any views expressed by the child/children are put before the Court, facilitate a resolution of the matter (provided such resolution is in the child/children’s best interests), and minimise trauma to the child/children as a result of the proceedings. If ICLs are evicted from matters prior to the Final </w:t>
      </w:r>
      <w:proofErr w:type="gramStart"/>
      <w:r>
        <w:t>Hearing</w:t>
      </w:r>
      <w:proofErr w:type="gramEnd"/>
      <w:r>
        <w:t xml:space="preserve"> they will be unable to carry out these obligations and the children they represent will likely experience the very trauma their ICL was required to shield them from.</w:t>
      </w:r>
    </w:p>
    <w:p w14:paraId="43C4F340" w14:textId="77777777" w:rsidR="0047427D" w:rsidRDefault="0047427D" w:rsidP="0047427D">
      <w:r>
        <w:t xml:space="preserve">The Final Hearing is often the most critical point in a matter, when the Orders that shape the rest of the child’s life, and Orders that ensure the child’s safety for the rest of their childhood are made. Losing the advocate, voice and protector of the child at this pivotal juncture will inevitably result in a decrease in child safety. It is often only after the Final Hearing is nearing completion and the ICL has had the benefit of seeing the parties (and usually a single expert) in the witness box, and the evidence has been tested through cross examination, that the ICL can confidently put a recommended proposal forward to the Court that is in the children’s best interests.  If the ICL is unfunded and unable to appear for the final hearing, this critical step in the process will not be able to take place. </w:t>
      </w:r>
    </w:p>
    <w:p w14:paraId="11D68CF6" w14:textId="317A16DB" w:rsidR="0047427D" w:rsidRPr="0047427D" w:rsidRDefault="0047427D" w:rsidP="0047427D">
      <w:r>
        <w:t>The loss of the ICL in Final Hearings is something that simply cannot be allowed, particularly when the consultation paper identified that the number of children being murdered by their parents has not reduced.</w:t>
      </w:r>
    </w:p>
    <w:sectPr w:rsidR="0047427D" w:rsidRPr="004742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27D"/>
    <w:rsid w:val="00022A23"/>
    <w:rsid w:val="0023679E"/>
    <w:rsid w:val="003F3348"/>
    <w:rsid w:val="0047427D"/>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74E1F"/>
  <w15:chartTrackingRefBased/>
  <w15:docId w15:val="{6973B99F-CAD0-4227-B041-EF3441163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42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42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2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2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42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2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2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2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2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2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42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2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2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2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2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2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2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27D"/>
    <w:rPr>
      <w:rFonts w:eastAsiaTheme="majorEastAsia" w:cstheme="majorBidi"/>
      <w:color w:val="272727" w:themeColor="text1" w:themeTint="D8"/>
    </w:rPr>
  </w:style>
  <w:style w:type="paragraph" w:styleId="Title">
    <w:name w:val="Title"/>
    <w:basedOn w:val="Normal"/>
    <w:next w:val="Normal"/>
    <w:link w:val="TitleChar"/>
    <w:uiPriority w:val="10"/>
    <w:qFormat/>
    <w:rsid w:val="004742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2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2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2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27D"/>
    <w:pPr>
      <w:spacing w:before="160"/>
      <w:jc w:val="center"/>
    </w:pPr>
    <w:rPr>
      <w:i/>
      <w:iCs/>
      <w:color w:val="404040" w:themeColor="text1" w:themeTint="BF"/>
    </w:rPr>
  </w:style>
  <w:style w:type="character" w:customStyle="1" w:styleId="QuoteChar">
    <w:name w:val="Quote Char"/>
    <w:basedOn w:val="DefaultParagraphFont"/>
    <w:link w:val="Quote"/>
    <w:uiPriority w:val="29"/>
    <w:rsid w:val="0047427D"/>
    <w:rPr>
      <w:i/>
      <w:iCs/>
      <w:color w:val="404040" w:themeColor="text1" w:themeTint="BF"/>
    </w:rPr>
  </w:style>
  <w:style w:type="paragraph" w:styleId="ListParagraph">
    <w:name w:val="List Paragraph"/>
    <w:basedOn w:val="Normal"/>
    <w:uiPriority w:val="34"/>
    <w:qFormat/>
    <w:rsid w:val="0047427D"/>
    <w:pPr>
      <w:ind w:left="720"/>
      <w:contextualSpacing/>
    </w:pPr>
  </w:style>
  <w:style w:type="character" w:styleId="IntenseEmphasis">
    <w:name w:val="Intense Emphasis"/>
    <w:basedOn w:val="DefaultParagraphFont"/>
    <w:uiPriority w:val="21"/>
    <w:qFormat/>
    <w:rsid w:val="0047427D"/>
    <w:rPr>
      <w:i/>
      <w:iCs/>
      <w:color w:val="0F4761" w:themeColor="accent1" w:themeShade="BF"/>
    </w:rPr>
  </w:style>
  <w:style w:type="paragraph" w:styleId="IntenseQuote">
    <w:name w:val="Intense Quote"/>
    <w:basedOn w:val="Normal"/>
    <w:next w:val="Normal"/>
    <w:link w:val="IntenseQuoteChar"/>
    <w:uiPriority w:val="30"/>
    <w:qFormat/>
    <w:rsid w:val="004742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27D"/>
    <w:rPr>
      <w:i/>
      <w:iCs/>
      <w:color w:val="0F4761" w:themeColor="accent1" w:themeShade="BF"/>
    </w:rPr>
  </w:style>
  <w:style w:type="character" w:styleId="IntenseReference">
    <w:name w:val="Intense Reference"/>
    <w:basedOn w:val="DefaultParagraphFont"/>
    <w:uiPriority w:val="32"/>
    <w:qFormat/>
    <w:rsid w:val="004742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B1BB6B-F9E6-44B2-8EEF-42F4A8B8D3D1}"/>
</file>

<file path=customXml/itemProps2.xml><?xml version="1.0" encoding="utf-8"?>
<ds:datastoreItem xmlns:ds="http://schemas.openxmlformats.org/officeDocument/2006/customXml" ds:itemID="{CE76DC3C-377B-4242-B09D-A609701D40D0}"/>
</file>

<file path=customXml/itemProps3.xml><?xml version="1.0" encoding="utf-8"?>
<ds:datastoreItem xmlns:ds="http://schemas.openxmlformats.org/officeDocument/2006/customXml" ds:itemID="{AE14C8B8-0F29-4F34-B11E-92FA8FB86461}"/>
</file>

<file path=docProps/app.xml><?xml version="1.0" encoding="utf-8"?>
<Properties xmlns="http://schemas.openxmlformats.org/officeDocument/2006/extended-properties" xmlns:vt="http://schemas.openxmlformats.org/officeDocument/2006/docPropsVTypes">
  <Template>Normal.dotm</Template>
  <TotalTime>1</TotalTime>
  <Pages>4</Pages>
  <Words>1824</Words>
  <Characters>10399</Characters>
  <Application>Microsoft Office Word</Application>
  <DocSecurity>0</DocSecurity>
  <Lines>86</Lines>
  <Paragraphs>24</Paragraphs>
  <ScaleCrop>false</ScaleCrop>
  <Company/>
  <LinksUpToDate>false</LinksUpToDate>
  <CharactersWithSpaces>12199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2026-09-02T04:09:00Z</dcterms:created>
  <dcterms:modified xsi:type="dcterms:W3CDTF">2026-09-02T04:10:00Z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