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18" w:space="0" w:color="auto"/>
        </w:tblBorders>
        <w:tblLook w:val="00A0" w:firstRow="1" w:lastRow="0" w:firstColumn="1" w:lastColumn="0" w:noHBand="0" w:noVBand="0"/>
      </w:tblPr>
      <w:tblGrid>
        <w:gridCol w:w="3505"/>
        <w:gridCol w:w="6847"/>
      </w:tblGrid>
      <w:tr w:rsidR="00553BD0" w:rsidRPr="00C852D1" w14:paraId="647DF461" w14:textId="77777777" w:rsidTr="0090624B">
        <w:tc>
          <w:tcPr>
            <w:tcW w:w="3522" w:type="dxa"/>
            <w:tcBorders>
              <w:bottom w:val="single" w:sz="18" w:space="0" w:color="auto"/>
            </w:tcBorders>
          </w:tcPr>
          <w:p w14:paraId="24471F61" w14:textId="77777777" w:rsidR="00553BD0" w:rsidRPr="00C852D1" w:rsidRDefault="00553BD0" w:rsidP="0090624B">
            <w:pPr>
              <w:framePr w:w="10352" w:hSpace="180" w:wrap="auto" w:vAnchor="text" w:hAnchor="page" w:x="709" w:y="-1079"/>
              <w:rPr>
                <w:rFonts w:ascii="Arial" w:hAnsi="Arial" w:cs="Arial"/>
                <w:szCs w:val="22"/>
              </w:rPr>
            </w:pPr>
            <w:r w:rsidRPr="00C852D1">
              <w:rPr>
                <w:rFonts w:ascii="Arial" w:hAnsi="Arial" w:cs="Arial"/>
                <w:noProof/>
                <w:szCs w:val="22"/>
                <w:lang w:eastAsia="en-AU"/>
              </w:rPr>
              <w:drawing>
                <wp:inline distT="0" distB="0" distL="0" distR="0" wp14:anchorId="28FCA37A" wp14:editId="7F18453A">
                  <wp:extent cx="1727200" cy="172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7200" cy="1727200"/>
                          </a:xfrm>
                          <a:prstGeom prst="rect">
                            <a:avLst/>
                          </a:prstGeom>
                          <a:noFill/>
                          <a:ln>
                            <a:noFill/>
                          </a:ln>
                        </pic:spPr>
                      </pic:pic>
                    </a:graphicData>
                  </a:graphic>
                </wp:inline>
              </w:drawing>
            </w:r>
          </w:p>
        </w:tc>
        <w:tc>
          <w:tcPr>
            <w:tcW w:w="7046" w:type="dxa"/>
            <w:tcBorders>
              <w:bottom w:val="single" w:sz="18" w:space="0" w:color="auto"/>
            </w:tcBorders>
          </w:tcPr>
          <w:p w14:paraId="578B8508" w14:textId="77777777" w:rsidR="00553BD0" w:rsidRPr="00C852D1" w:rsidRDefault="00553BD0" w:rsidP="0090624B">
            <w:pPr>
              <w:framePr w:w="10352" w:hSpace="180" w:wrap="auto" w:vAnchor="text" w:hAnchor="page" w:x="709" w:y="-1079"/>
              <w:tabs>
                <w:tab w:val="left" w:pos="2380"/>
              </w:tabs>
              <w:spacing w:line="400" w:lineRule="atLeast"/>
              <w:jc w:val="center"/>
              <w:rPr>
                <w:rFonts w:ascii="Arial" w:hAnsi="Arial" w:cs="Arial"/>
                <w:b/>
                <w:szCs w:val="22"/>
              </w:rPr>
            </w:pPr>
          </w:p>
          <w:p w14:paraId="350A3AC9" w14:textId="77777777" w:rsidR="00553BD0" w:rsidRPr="00C852D1" w:rsidRDefault="00553BD0" w:rsidP="00553BD0">
            <w:pPr>
              <w:framePr w:w="10352" w:hSpace="180" w:wrap="auto" w:vAnchor="text" w:hAnchor="page" w:x="709" w:y="-1079"/>
              <w:tabs>
                <w:tab w:val="left" w:pos="2380"/>
              </w:tabs>
              <w:spacing w:line="400" w:lineRule="atLeast"/>
              <w:jc w:val="center"/>
              <w:rPr>
                <w:rFonts w:ascii="Arial" w:hAnsi="Arial" w:cs="Arial"/>
                <w:szCs w:val="22"/>
              </w:rPr>
            </w:pPr>
          </w:p>
        </w:tc>
      </w:tr>
    </w:tbl>
    <w:p w14:paraId="4F151264" w14:textId="77777777" w:rsidR="00553BD0" w:rsidRPr="00C852D1" w:rsidRDefault="00553BD0" w:rsidP="00553BD0">
      <w:pPr>
        <w:framePr w:w="10352" w:hSpace="180" w:wrap="auto" w:vAnchor="text" w:hAnchor="page" w:x="709" w:y="-1079"/>
        <w:jc w:val="right"/>
        <w:rPr>
          <w:rFonts w:ascii="Arial" w:hAnsi="Arial" w:cs="Arial"/>
          <w:szCs w:val="22"/>
        </w:rPr>
      </w:pPr>
    </w:p>
    <w:p w14:paraId="766F6868" w14:textId="04691002" w:rsidR="00553BD0" w:rsidRPr="001C5D29" w:rsidRDefault="001C5D29" w:rsidP="001C5D29">
      <w:pPr>
        <w:jc w:val="right"/>
        <w:rPr>
          <w:rFonts w:ascii="Arial" w:hAnsi="Arial" w:cs="Arial"/>
          <w:szCs w:val="22"/>
        </w:rPr>
      </w:pPr>
      <w:r w:rsidRPr="001C5D29">
        <w:rPr>
          <w:rFonts w:ascii="Arial" w:hAnsi="Arial" w:cs="Arial"/>
          <w:szCs w:val="22"/>
        </w:rPr>
        <w:t xml:space="preserve">31 July 2026 </w:t>
      </w:r>
    </w:p>
    <w:p w14:paraId="54322B87" w14:textId="77777777" w:rsidR="001C5D29" w:rsidRPr="001C5D29" w:rsidRDefault="001C5D29" w:rsidP="001C5D29">
      <w:pPr>
        <w:jc w:val="right"/>
        <w:rPr>
          <w:rFonts w:ascii="Arial" w:hAnsi="Arial" w:cs="Arial"/>
          <w:szCs w:val="22"/>
        </w:rPr>
      </w:pPr>
    </w:p>
    <w:p w14:paraId="1A0B6E3E" w14:textId="77777777" w:rsidR="001C5D29" w:rsidRPr="001C5D29" w:rsidRDefault="001C5D29" w:rsidP="001C5D29">
      <w:pPr>
        <w:jc w:val="left"/>
        <w:rPr>
          <w:rFonts w:ascii="Arial" w:hAnsi="Arial" w:cs="Arial"/>
          <w:szCs w:val="22"/>
        </w:rPr>
      </w:pPr>
    </w:p>
    <w:p w14:paraId="2A57FC66" w14:textId="6CA753D4" w:rsidR="001C5D29" w:rsidRPr="001C5D29" w:rsidRDefault="001C5D29" w:rsidP="001C5D29">
      <w:pPr>
        <w:jc w:val="left"/>
        <w:rPr>
          <w:rFonts w:ascii="Arial" w:hAnsi="Arial" w:cs="Arial"/>
          <w:szCs w:val="22"/>
        </w:rPr>
      </w:pPr>
      <w:r w:rsidRPr="001C5D29">
        <w:rPr>
          <w:rFonts w:ascii="Arial" w:hAnsi="Arial" w:cs="Arial"/>
          <w:szCs w:val="22"/>
        </w:rPr>
        <w:t>Australian Federal Government</w:t>
      </w:r>
    </w:p>
    <w:p w14:paraId="40D02A40" w14:textId="67FA9E9F" w:rsidR="001C5D29" w:rsidRPr="001C5D29" w:rsidRDefault="001C5D29" w:rsidP="001C5D29">
      <w:pPr>
        <w:jc w:val="left"/>
        <w:rPr>
          <w:rFonts w:ascii="Arial" w:hAnsi="Arial" w:cs="Arial"/>
          <w:szCs w:val="22"/>
        </w:rPr>
      </w:pPr>
      <w:r w:rsidRPr="001C5D29">
        <w:rPr>
          <w:rFonts w:ascii="Arial" w:hAnsi="Arial" w:cs="Arial"/>
          <w:szCs w:val="22"/>
        </w:rPr>
        <w:t>Attorney General Department</w:t>
      </w:r>
    </w:p>
    <w:p w14:paraId="75CA4A07" w14:textId="7DE8CA46" w:rsidR="001C5D29" w:rsidRPr="001C5D29" w:rsidRDefault="001C5D29" w:rsidP="001C5D29">
      <w:pPr>
        <w:jc w:val="left"/>
        <w:rPr>
          <w:rFonts w:ascii="Arial" w:hAnsi="Arial" w:cs="Arial"/>
          <w:szCs w:val="22"/>
        </w:rPr>
      </w:pPr>
      <w:r w:rsidRPr="001C5D29">
        <w:rPr>
          <w:rFonts w:ascii="Arial" w:hAnsi="Arial" w:cs="Arial"/>
          <w:szCs w:val="22"/>
        </w:rPr>
        <w:t xml:space="preserve">Via Online Submission </w:t>
      </w:r>
    </w:p>
    <w:p w14:paraId="73882A13" w14:textId="77777777" w:rsidR="00553BD0" w:rsidRPr="001C5D29" w:rsidRDefault="00553BD0" w:rsidP="00553BD0">
      <w:pPr>
        <w:rPr>
          <w:rFonts w:ascii="Arial" w:hAnsi="Arial" w:cs="Arial"/>
          <w:szCs w:val="22"/>
        </w:rPr>
      </w:pPr>
    </w:p>
    <w:p w14:paraId="59561632" w14:textId="77777777" w:rsidR="00553BD0" w:rsidRPr="001C5D29" w:rsidRDefault="00553BD0" w:rsidP="00553BD0">
      <w:pPr>
        <w:rPr>
          <w:rFonts w:ascii="Arial" w:hAnsi="Arial" w:cs="Arial"/>
          <w:szCs w:val="22"/>
        </w:rPr>
      </w:pPr>
    </w:p>
    <w:p w14:paraId="79613179" w14:textId="77777777" w:rsidR="001C5D29" w:rsidRPr="001C5D29" w:rsidRDefault="001C5D29" w:rsidP="001C5D29">
      <w:pPr>
        <w:rPr>
          <w:rFonts w:ascii="Arial" w:hAnsi="Arial" w:cs="Arial"/>
          <w:bCs/>
          <w:szCs w:val="22"/>
        </w:rPr>
      </w:pPr>
    </w:p>
    <w:p w14:paraId="700C0840" w14:textId="72BDE0AD" w:rsidR="001C5D29" w:rsidRPr="001C5D29" w:rsidRDefault="001C5D29" w:rsidP="001C5D29">
      <w:pPr>
        <w:rPr>
          <w:rFonts w:ascii="Arial" w:hAnsi="Arial" w:cs="Arial"/>
          <w:bCs/>
          <w:szCs w:val="22"/>
        </w:rPr>
      </w:pPr>
      <w:r w:rsidRPr="001C5D29">
        <w:rPr>
          <w:rFonts w:ascii="Arial" w:hAnsi="Arial" w:cs="Arial"/>
          <w:bCs/>
          <w:szCs w:val="22"/>
        </w:rPr>
        <w:t xml:space="preserve">Rates of domestic and family violence have increased significantly in recent years. In 2021 one quarter of Australian women were estimated to have experienced domestic violence by an intimate partner (Australian Institute of Health and Welfare, 2021). Within 4 years, by 2025, that number is estimated to have risen to at least one third, with an estimate of one in three Australian men reporting to have used violence towards a partner (Australian Longitudinal Study on Male Health, the Ten to Men Report, 2025). Between 2025 and 2026 rates of domestic violence have increased by 8%, which is the largest spike since national reporting began in 2019 (Australian Bureau of Statistics, 2026). However as we all know, many incidents of family violence go entirely un-reported, so in reality these numbers are likely higher. The Hunter Valley Family Law Practitioners Association has taken the opportunity to provide a submission in regards to the National Action Plan to End Family Violence, to bring attention to the critical need for legal services, and adequate funding of legal services, to address family violence. </w:t>
      </w:r>
    </w:p>
    <w:p w14:paraId="5AF98011" w14:textId="77777777" w:rsidR="001C5D29" w:rsidRPr="001C5D29" w:rsidRDefault="001C5D29" w:rsidP="001C5D29">
      <w:pPr>
        <w:rPr>
          <w:rFonts w:ascii="Arial" w:hAnsi="Arial" w:cs="Arial"/>
          <w:bCs/>
          <w:szCs w:val="22"/>
        </w:rPr>
      </w:pPr>
    </w:p>
    <w:p w14:paraId="18A55FFC" w14:textId="58B3651E" w:rsidR="001C5D29" w:rsidRDefault="00BC11DF" w:rsidP="001C5D29">
      <w:pPr>
        <w:rPr>
          <w:rFonts w:ascii="Arial" w:hAnsi="Arial" w:cs="Arial"/>
          <w:bCs/>
          <w:szCs w:val="22"/>
        </w:rPr>
      </w:pPr>
      <w:r>
        <w:rPr>
          <w:rFonts w:ascii="Arial" w:hAnsi="Arial" w:cs="Arial"/>
          <w:bCs/>
          <w:szCs w:val="22"/>
        </w:rPr>
        <w:t xml:space="preserve">Provision of adequate </w:t>
      </w:r>
      <w:r w:rsidR="001C5D29" w:rsidRPr="001C5D29">
        <w:rPr>
          <w:rFonts w:ascii="Arial" w:hAnsi="Arial" w:cs="Arial"/>
          <w:bCs/>
          <w:szCs w:val="22"/>
        </w:rPr>
        <w:t xml:space="preserve">funding </w:t>
      </w:r>
      <w:r>
        <w:rPr>
          <w:rFonts w:ascii="Arial" w:hAnsi="Arial" w:cs="Arial"/>
          <w:bCs/>
          <w:szCs w:val="22"/>
        </w:rPr>
        <w:t xml:space="preserve">to Legal Aid by the Federal Government </w:t>
      </w:r>
      <w:r w:rsidR="001C5D29" w:rsidRPr="001C5D29">
        <w:rPr>
          <w:rFonts w:ascii="Arial" w:hAnsi="Arial" w:cs="Arial"/>
          <w:bCs/>
          <w:szCs w:val="22"/>
        </w:rPr>
        <w:t>is critical to ensure that Legal Aid commissions around the country can continue to provide family law services through their external practitioners. It is vital to ensure that representation can be provided to vulnerable people navigating the ever increasingly complex family law system. It is essential to ensure that at risk children can have a voice in the Court matters concerning them, and that their safety and best interests are advocated for in Court. Without this funding countless litigants in family law proceedings will inevitably be self-represented, causing the Court system to be in disarray. Countless others will simply be unable to access and navigate the justice system at all.</w:t>
      </w:r>
      <w:r>
        <w:rPr>
          <w:rFonts w:ascii="Arial" w:hAnsi="Arial" w:cs="Arial"/>
          <w:bCs/>
          <w:szCs w:val="22"/>
        </w:rPr>
        <w:t xml:space="preserve"> Children will be at significantly increased risk.</w:t>
      </w:r>
    </w:p>
    <w:p w14:paraId="71E37D34" w14:textId="77777777" w:rsidR="001C5D29" w:rsidRPr="001C5D29" w:rsidRDefault="001C5D29" w:rsidP="001C5D29">
      <w:pPr>
        <w:rPr>
          <w:rFonts w:ascii="Arial" w:hAnsi="Arial" w:cs="Arial"/>
          <w:bCs/>
          <w:szCs w:val="22"/>
        </w:rPr>
      </w:pPr>
    </w:p>
    <w:p w14:paraId="4EE768BE" w14:textId="75BCF8F2" w:rsidR="001C5D29" w:rsidRDefault="001C5D29" w:rsidP="001C5D29">
      <w:pPr>
        <w:rPr>
          <w:rFonts w:ascii="Arial" w:hAnsi="Arial" w:cs="Arial"/>
          <w:bCs/>
          <w:szCs w:val="22"/>
        </w:rPr>
      </w:pPr>
      <w:r w:rsidRPr="001C5D29">
        <w:rPr>
          <w:rFonts w:ascii="Arial" w:hAnsi="Arial" w:cs="Arial"/>
          <w:bCs/>
          <w:szCs w:val="22"/>
        </w:rPr>
        <w:t xml:space="preserve">Every year tens of thousands of matters are commenced in the Federal Circuit and Family Court of Australia (“FCFCOA”). Court statistics indicate that in the FCFCOA approximately 85% of these matters are family law matters. Court statistics also indicate that approximately 93% of the parenting matters involve at least one key risk alleged, 89% involve at least two, 84% involve at least 3 and 73% involve four or more. Key risks include physical or sexual abuse of children, family violence, neglect, drug and/or alcohol abuse and mental health. Court statistics also indicate that in approximately 86% of matters parents reported experiencing family violence, in approximately 81% of matters it was reported that children </w:t>
      </w:r>
      <w:r w:rsidR="00BC11DF">
        <w:rPr>
          <w:rFonts w:ascii="Arial" w:hAnsi="Arial" w:cs="Arial"/>
          <w:bCs/>
          <w:szCs w:val="22"/>
        </w:rPr>
        <w:t xml:space="preserve">had </w:t>
      </w:r>
      <w:r w:rsidRPr="001C5D29">
        <w:rPr>
          <w:rFonts w:ascii="Arial" w:hAnsi="Arial" w:cs="Arial"/>
          <w:bCs/>
          <w:szCs w:val="22"/>
        </w:rPr>
        <w:t>experienced family violence and in approximately 77% of cases there were allegations the children had been abused or were at risk of abuse.</w:t>
      </w:r>
      <w:r w:rsidR="00BC11DF">
        <w:rPr>
          <w:rFonts w:ascii="Arial" w:hAnsi="Arial" w:cs="Arial"/>
          <w:bCs/>
          <w:szCs w:val="22"/>
        </w:rPr>
        <w:t xml:space="preserve"> </w:t>
      </w:r>
      <w:r w:rsidRPr="001C5D29">
        <w:rPr>
          <w:rFonts w:ascii="Arial" w:hAnsi="Arial" w:cs="Arial"/>
          <w:bCs/>
          <w:szCs w:val="22"/>
        </w:rPr>
        <w:t xml:space="preserve">Many of these matters, particularly those involving parenting issues, family violence and significant risk, are funded by Legal Aid. Many of the parenting matters involve an Independent Children’s Lawyer, who is also funded by Legal Aid. Thousands and thousands of vulnerable people rely on Legal Aid funding to access justice, to better their lives, to leave violent relationships and to ensure they, and their children, are safe. ICLs rely on Legal Aid funding to ensure the safety and best interests of Australian children are priority. </w:t>
      </w:r>
    </w:p>
    <w:p w14:paraId="544E2D49" w14:textId="77777777" w:rsidR="00BC11DF" w:rsidRPr="001C5D29" w:rsidRDefault="00BC11DF" w:rsidP="001C5D29">
      <w:pPr>
        <w:rPr>
          <w:rFonts w:ascii="Arial" w:hAnsi="Arial" w:cs="Arial"/>
          <w:bCs/>
          <w:szCs w:val="22"/>
        </w:rPr>
      </w:pPr>
    </w:p>
    <w:p w14:paraId="1EAA2D99" w14:textId="707EA21F" w:rsidR="001C5D29" w:rsidRDefault="001C5D29" w:rsidP="001C5D29">
      <w:pPr>
        <w:rPr>
          <w:rFonts w:ascii="Arial" w:hAnsi="Arial" w:cs="Arial"/>
          <w:bCs/>
          <w:szCs w:val="22"/>
        </w:rPr>
      </w:pPr>
      <w:r w:rsidRPr="001C5D29">
        <w:rPr>
          <w:rFonts w:ascii="Arial" w:hAnsi="Arial" w:cs="Arial"/>
          <w:bCs/>
          <w:szCs w:val="22"/>
        </w:rPr>
        <w:t xml:space="preserve">In the last three years demand for legal aid services in NSW has risen by 30% and by 18% since the 2024 family law reforms. The majority of legal aid work is conducted by external practitioners who contract to legal aid. In NSW more than 70% of legal aid funded work is done by external practitioners. They usually have carriage of between 50 and 100 legal aid family law matters at any one time, compared to in house legal aid lawyers who generally have carriage of between 5 and 25 matters at any one time. These increases in need and demand are unsustainable without funding support from the Government. Unfortunately </w:t>
      </w:r>
      <w:r w:rsidR="00BC11DF">
        <w:rPr>
          <w:rFonts w:ascii="Arial" w:hAnsi="Arial" w:cs="Arial"/>
          <w:bCs/>
          <w:szCs w:val="22"/>
        </w:rPr>
        <w:t>sufficient</w:t>
      </w:r>
      <w:r w:rsidRPr="001C5D29">
        <w:rPr>
          <w:rFonts w:ascii="Arial" w:hAnsi="Arial" w:cs="Arial"/>
          <w:bCs/>
          <w:szCs w:val="22"/>
        </w:rPr>
        <w:t xml:space="preserve"> funding and support has not been forthcoming. </w:t>
      </w:r>
    </w:p>
    <w:p w14:paraId="08B1FABE" w14:textId="77777777" w:rsidR="00BC11DF" w:rsidRPr="001C5D29" w:rsidRDefault="00BC11DF" w:rsidP="001C5D29">
      <w:pPr>
        <w:rPr>
          <w:rFonts w:ascii="Arial" w:hAnsi="Arial" w:cs="Arial"/>
          <w:bCs/>
          <w:szCs w:val="22"/>
        </w:rPr>
      </w:pPr>
    </w:p>
    <w:p w14:paraId="0BDF3610" w14:textId="7025FD1D" w:rsidR="001C5D29" w:rsidRDefault="001C5D29" w:rsidP="001C5D29">
      <w:pPr>
        <w:rPr>
          <w:rFonts w:ascii="Arial" w:hAnsi="Arial" w:cs="Arial"/>
          <w:bCs/>
          <w:szCs w:val="22"/>
        </w:rPr>
      </w:pPr>
      <w:r w:rsidRPr="001C5D29">
        <w:rPr>
          <w:rFonts w:ascii="Arial" w:hAnsi="Arial" w:cs="Arial"/>
          <w:bCs/>
          <w:szCs w:val="22"/>
        </w:rPr>
        <w:t xml:space="preserve">On 14 May 2026 Legal Aid NSW advised their external practitioners that from 1 July 2026 they will only be providing funding for family law Court matters for adults who are Aboriginal and/or are victims of family violence. They also advised that from 1 January 2027 ICLs will no longer be funded to attend Final Hearings, unless one or more parties are self-represented. They advised that due to the lack of sufficient funding from the Government in the recent federal budget, these restrictions are inevitable and necessary. As a direct result of the lack of </w:t>
      </w:r>
      <w:r w:rsidR="00BC11DF">
        <w:rPr>
          <w:rFonts w:ascii="Arial" w:hAnsi="Arial" w:cs="Arial"/>
          <w:bCs/>
          <w:szCs w:val="22"/>
        </w:rPr>
        <w:t xml:space="preserve">adequate </w:t>
      </w:r>
      <w:r w:rsidRPr="001C5D29">
        <w:rPr>
          <w:rFonts w:ascii="Arial" w:hAnsi="Arial" w:cs="Arial"/>
          <w:bCs/>
          <w:szCs w:val="22"/>
        </w:rPr>
        <w:t xml:space="preserve">funding and the consequential legal aid cuts, the following groups of people may now be ineligible for funding for Court matters: single parents, homeless people, disabled people, mentally unwell people, intellectually challenged people, retired pensioners, people from culturally or racially diverse backgrounds, people who have substance use issues, grandparents or extended family members caring for children and people whose children have allegedly been physically or sexually abused. </w:t>
      </w:r>
    </w:p>
    <w:p w14:paraId="28912910" w14:textId="77777777" w:rsidR="001C5D29" w:rsidRPr="001C5D29" w:rsidRDefault="001C5D29" w:rsidP="001C5D29">
      <w:pPr>
        <w:rPr>
          <w:rFonts w:ascii="Arial" w:hAnsi="Arial" w:cs="Arial"/>
          <w:bCs/>
          <w:szCs w:val="22"/>
        </w:rPr>
      </w:pPr>
    </w:p>
    <w:p w14:paraId="0D29BC9D" w14:textId="77777777" w:rsidR="001C5D29" w:rsidRDefault="001C5D29" w:rsidP="001C5D29">
      <w:pPr>
        <w:rPr>
          <w:rFonts w:ascii="Arial" w:hAnsi="Arial" w:cs="Arial"/>
          <w:bCs/>
          <w:szCs w:val="22"/>
        </w:rPr>
      </w:pPr>
      <w:r w:rsidRPr="001C5D29">
        <w:rPr>
          <w:rFonts w:ascii="Arial" w:hAnsi="Arial" w:cs="Arial"/>
          <w:bCs/>
          <w:szCs w:val="22"/>
        </w:rPr>
        <w:t>It is also not only the impact to the litigants and children that is worth considering, but the impact to the Court system in general. Former Federal Circuit and Family Court Judge Garry Watts warned that the loss of ICLs will add time and cost to cases, noting that the Final Hearing is the point in a matter where an ICL is most valuable. Former Family Court Justice Garry Foster opined that ICLs were “crucial to the proper conduct of a great number of parenting cases.” Judge Watts also considered that without ICLs it will be “a lot harder to hear the voice of the child and consider an outcome that might be the best outcome for the child.”</w:t>
      </w:r>
    </w:p>
    <w:p w14:paraId="4EC69229" w14:textId="77777777" w:rsidR="001C5D29" w:rsidRPr="001C5D29" w:rsidRDefault="001C5D29" w:rsidP="001C5D29">
      <w:pPr>
        <w:rPr>
          <w:rFonts w:ascii="Arial" w:hAnsi="Arial" w:cs="Arial"/>
          <w:bCs/>
          <w:szCs w:val="22"/>
        </w:rPr>
      </w:pPr>
    </w:p>
    <w:p w14:paraId="07F7DC23" w14:textId="2F9AA75A" w:rsidR="00571F3E" w:rsidRDefault="001C5D29" w:rsidP="001C5D29">
      <w:pPr>
        <w:rPr>
          <w:rFonts w:ascii="Arial" w:hAnsi="Arial" w:cs="Arial"/>
          <w:bCs/>
          <w:szCs w:val="22"/>
        </w:rPr>
      </w:pPr>
      <w:r w:rsidRPr="001C5D29">
        <w:rPr>
          <w:rFonts w:ascii="Arial" w:hAnsi="Arial" w:cs="Arial"/>
          <w:bCs/>
          <w:szCs w:val="22"/>
        </w:rPr>
        <w:t xml:space="preserve">We do note that funding for somewhat related issues has been forthcoming, including but not limited to $182 million to address issues with the child support system, $34.2 million to the FCFCOA for migration matters and $11 million for the 102NA scheme. Whilst there are certainly issues with the child support system, and improvements to the system will help victims and children, access to legal advice and assistance is crucial to ensuring and promoting safety. Approximately 85% of the matters filed in the FCFCOA each year are family law matters. If $34.2 million can be allocated for matters that must equate to less than 15% of the Court’s work, perhaps a substantial amount could be allocated for matters that equate to approximately 85% of the Court’s work. We acknowledge that $559,000,000 was allocated to Legal Aid in last year’s federal budget through the National Access to Justice Partnership. Firstly, this was greatly needed and greatly appreciated. However, it is not adequate to meet the need. This funding is to be allocated over 5 years, and not all of this funding will be applied towards Legal Aid grants or utilised directly for family law services or client work. </w:t>
      </w:r>
    </w:p>
    <w:p w14:paraId="7E44C731" w14:textId="77777777" w:rsidR="00571F3E" w:rsidRDefault="00571F3E" w:rsidP="001C5D29">
      <w:pPr>
        <w:rPr>
          <w:rFonts w:ascii="Arial" w:hAnsi="Arial" w:cs="Arial"/>
          <w:bCs/>
          <w:szCs w:val="22"/>
        </w:rPr>
      </w:pPr>
    </w:p>
    <w:p w14:paraId="42905CA9" w14:textId="16861073" w:rsidR="001C5D29" w:rsidRPr="001C5D29" w:rsidRDefault="00571F3E" w:rsidP="001C5D29">
      <w:pPr>
        <w:rPr>
          <w:rFonts w:ascii="Arial" w:hAnsi="Arial" w:cs="Arial"/>
          <w:bCs/>
          <w:szCs w:val="22"/>
        </w:rPr>
      </w:pPr>
      <w:r>
        <w:rPr>
          <w:rFonts w:ascii="Arial" w:hAnsi="Arial" w:cs="Arial"/>
          <w:bCs/>
          <w:szCs w:val="22"/>
        </w:rPr>
        <w:t xml:space="preserve">In </w:t>
      </w:r>
      <w:r w:rsidR="001C5D29" w:rsidRPr="001C5D29">
        <w:rPr>
          <w:rFonts w:ascii="Arial" w:hAnsi="Arial" w:cs="Arial"/>
          <w:bCs/>
          <w:szCs w:val="22"/>
        </w:rPr>
        <w:t xml:space="preserve">reality </w:t>
      </w:r>
      <w:r>
        <w:rPr>
          <w:rFonts w:ascii="Arial" w:hAnsi="Arial" w:cs="Arial"/>
          <w:bCs/>
          <w:szCs w:val="22"/>
        </w:rPr>
        <w:t xml:space="preserve">a lack of adequate funding </w:t>
      </w:r>
      <w:r w:rsidR="001C5D29" w:rsidRPr="001C5D29">
        <w:rPr>
          <w:rFonts w:ascii="Arial" w:hAnsi="Arial" w:cs="Arial"/>
          <w:bCs/>
          <w:szCs w:val="22"/>
        </w:rPr>
        <w:t xml:space="preserve">will mean victims are more likely to continue to suffer family violence throughout their Court proceedings, or be unable to even proceed with Court, and it will also mean children are at significant risk, without the protection and support of an ICL. We urge you to reconsider what further funding can be allocated to Legal Aid, because all people should be able to access justice and all children should be safe. At the end of the day, behind every file are people with real problems and at the centre of many family law matters is a real and often scared and vulnerable child. </w:t>
      </w:r>
      <w:r w:rsidR="001C5D29" w:rsidRPr="001C5D29">
        <w:rPr>
          <w:rFonts w:ascii="Arial" w:hAnsi="Arial" w:cs="Arial"/>
          <w:b/>
          <w:szCs w:val="22"/>
        </w:rPr>
        <w:fldChar w:fldCharType="begin" w:fldLock="1"/>
      </w:r>
      <w:r w:rsidR="001C5D29" w:rsidRPr="001C5D29">
        <w:rPr>
          <w:rFonts w:ascii="Arial" w:hAnsi="Arial" w:cs="Arial"/>
          <w:b/>
          <w:szCs w:val="22"/>
        </w:rPr>
        <w:instrText>AUTOMATIONFIELD customtables_data_source\*CAgQwHD5zECM1rUji_bSTw/7iL2XWWLzkG4xXoBIFz2yw\*U\*Matter Details/Re Line</w:instrText>
      </w:r>
      <w:r w:rsidR="001C5D29" w:rsidRPr="001C5D29">
        <w:rPr>
          <w:rFonts w:ascii="Arial" w:hAnsi="Arial" w:cs="Arial"/>
          <w:b/>
          <w:szCs w:val="22"/>
        </w:rPr>
        <w:fldChar w:fldCharType="separate"/>
      </w:r>
      <w:r w:rsidR="001C5D29" w:rsidRPr="001C5D29">
        <w:rPr>
          <w:rFonts w:ascii="Arial" w:hAnsi="Arial" w:cs="Arial"/>
          <w:b/>
          <w:szCs w:val="22"/>
        </w:rPr>
        <w:fldChar w:fldCharType="end"/>
      </w:r>
      <w:r w:rsidR="001C5D29" w:rsidRPr="001C5D29">
        <w:rPr>
          <w:rFonts w:ascii="Arial" w:hAnsi="Arial" w:cs="Arial"/>
          <w:szCs w:val="22"/>
        </w:rPr>
        <w:fldChar w:fldCharType="begin" w:fldLock="1"/>
      </w:r>
      <w:r w:rsidR="001C5D29" w:rsidRPr="001C5D29">
        <w:rPr>
          <w:rFonts w:ascii="Arial" w:hAnsi="Arial" w:cs="Arial"/>
          <w:szCs w:val="22"/>
        </w:rPr>
        <w:instrText>AUTOMATIONFIELD customletters_data_source\*Body Content\*\*Body Content</w:instrText>
      </w:r>
      <w:r w:rsidR="001C5D29" w:rsidRPr="001C5D29">
        <w:rPr>
          <w:rFonts w:ascii="Arial" w:hAnsi="Arial" w:cs="Arial"/>
          <w:szCs w:val="22"/>
        </w:rPr>
        <w:fldChar w:fldCharType="separate"/>
      </w:r>
      <w:r w:rsidR="001C5D29" w:rsidRPr="001C5D29">
        <w:rPr>
          <w:rFonts w:ascii="Arial" w:hAnsi="Arial" w:cs="Arial"/>
          <w:szCs w:val="22"/>
        </w:rPr>
        <w:fldChar w:fldCharType="end"/>
      </w:r>
    </w:p>
    <w:p w14:paraId="2DADE302" w14:textId="77777777" w:rsidR="00553BD0" w:rsidRPr="001C5D29" w:rsidRDefault="00553BD0" w:rsidP="00553BD0">
      <w:pPr>
        <w:rPr>
          <w:rFonts w:ascii="Arial" w:hAnsi="Arial" w:cs="Arial"/>
          <w:szCs w:val="22"/>
        </w:rPr>
      </w:pPr>
    </w:p>
    <w:p w14:paraId="54C3ACFC" w14:textId="1C258379" w:rsidR="001C5D29" w:rsidRPr="001C5D29" w:rsidRDefault="001C5D29" w:rsidP="001C5D29">
      <w:pPr>
        <w:rPr>
          <w:rFonts w:ascii="Arial" w:hAnsi="Arial" w:cs="Arial"/>
          <w:szCs w:val="22"/>
        </w:rPr>
      </w:pPr>
      <w:r>
        <w:rPr>
          <w:rFonts w:ascii="Arial" w:hAnsi="Arial" w:cs="Arial"/>
          <w:szCs w:val="22"/>
        </w:rPr>
        <w:t xml:space="preserve">                                                                                                                             </w:t>
      </w:r>
    </w:p>
    <w:p w14:paraId="2B055512" w14:textId="0FE7926F" w:rsidR="00553BD0" w:rsidRPr="00C852D1" w:rsidRDefault="00553BD0" w:rsidP="00553BD0">
      <w:pPr>
        <w:rPr>
          <w:rFonts w:ascii="Arial" w:hAnsi="Arial" w:cs="Arial"/>
          <w:szCs w:val="22"/>
        </w:rPr>
      </w:pPr>
    </w:p>
    <w:p w14:paraId="069D4D9D" w14:textId="649608B4" w:rsidR="00553BD0" w:rsidRPr="00C852D1" w:rsidRDefault="00A768C9" w:rsidP="00553BD0">
      <w:pPr>
        <w:rPr>
          <w:rFonts w:ascii="Arial" w:hAnsi="Arial" w:cs="Arial"/>
          <w:b/>
          <w:bCs/>
          <w:szCs w:val="22"/>
        </w:rPr>
      </w:pPr>
      <w:r>
        <w:rPr>
          <w:rFonts w:ascii="Arial" w:hAnsi="Arial" w:cs="Arial"/>
          <w:b/>
          <w:bCs/>
          <w:szCs w:val="22"/>
        </w:rPr>
        <w:t>[redacted]</w:t>
      </w:r>
      <w:r w:rsidR="00CE2DCF">
        <w:rPr>
          <w:rFonts w:ascii="Arial" w:hAnsi="Arial" w:cs="Arial"/>
          <w:b/>
          <w:bCs/>
          <w:szCs w:val="22"/>
        </w:rPr>
        <w:t xml:space="preserve"> </w:t>
      </w:r>
      <w:r w:rsidR="001C5D29">
        <w:rPr>
          <w:rFonts w:ascii="Arial" w:hAnsi="Arial" w:cs="Arial"/>
          <w:b/>
          <w:bCs/>
          <w:szCs w:val="22"/>
        </w:rPr>
        <w:t xml:space="preserve">                                                                                                                           </w:t>
      </w:r>
      <w:r>
        <w:rPr>
          <w:rFonts w:ascii="Arial" w:hAnsi="Arial" w:cs="Arial"/>
          <w:b/>
          <w:bCs/>
          <w:szCs w:val="22"/>
        </w:rPr>
        <w:t>[redacted]</w:t>
      </w:r>
    </w:p>
    <w:p w14:paraId="5BB72ABE" w14:textId="6CC46A1C" w:rsidR="00553BD0" w:rsidRPr="00C852D1" w:rsidRDefault="00A768C9" w:rsidP="00553BD0">
      <w:pPr>
        <w:rPr>
          <w:rFonts w:ascii="Arial" w:hAnsi="Arial" w:cs="Arial"/>
          <w:szCs w:val="22"/>
        </w:rPr>
      </w:pPr>
      <w:r>
        <w:rPr>
          <w:rFonts w:ascii="Arial" w:hAnsi="Arial" w:cs="Arial"/>
          <w:szCs w:val="22"/>
        </w:rPr>
        <w:t>[redacted]</w:t>
      </w:r>
      <w:r w:rsidR="001C5D29">
        <w:rPr>
          <w:rFonts w:ascii="Arial" w:hAnsi="Arial" w:cs="Arial"/>
          <w:szCs w:val="22"/>
        </w:rPr>
        <w:t xml:space="preserve">                                                                                                                          </w:t>
      </w:r>
      <w:r>
        <w:rPr>
          <w:rFonts w:ascii="Arial" w:hAnsi="Arial" w:cs="Arial"/>
          <w:szCs w:val="22"/>
        </w:rPr>
        <w:tab/>
        <w:t xml:space="preserve">[redacted] </w:t>
      </w:r>
    </w:p>
    <w:p w14:paraId="1CEFA965" w14:textId="26ADC4B5" w:rsidR="00553BD0" w:rsidRPr="00C852D1" w:rsidRDefault="00553BD0" w:rsidP="00553BD0">
      <w:pPr>
        <w:rPr>
          <w:rFonts w:ascii="Arial" w:hAnsi="Arial" w:cs="Arial"/>
          <w:szCs w:val="22"/>
        </w:rPr>
      </w:pPr>
      <w:r w:rsidRPr="00C852D1">
        <w:rPr>
          <w:rFonts w:ascii="Arial" w:hAnsi="Arial" w:cs="Arial"/>
          <w:szCs w:val="22"/>
        </w:rPr>
        <w:t>Hunter Valley Family Law Practitioners Association</w:t>
      </w:r>
      <w:r w:rsidR="001C5D29">
        <w:rPr>
          <w:rFonts w:ascii="Arial" w:hAnsi="Arial" w:cs="Arial"/>
          <w:szCs w:val="22"/>
        </w:rPr>
        <w:t xml:space="preserve">               </w:t>
      </w:r>
      <w:r w:rsidR="001C5D29" w:rsidRPr="00C852D1">
        <w:rPr>
          <w:rFonts w:ascii="Arial" w:hAnsi="Arial" w:cs="Arial"/>
          <w:szCs w:val="22"/>
        </w:rPr>
        <w:t>Hunter Valley Family Law Practitioners Association</w:t>
      </w:r>
    </w:p>
    <w:p w14:paraId="31425086" w14:textId="49842D1E" w:rsidR="00553BD0" w:rsidRPr="00C852D1" w:rsidRDefault="00553BD0" w:rsidP="00553BD0">
      <w:pPr>
        <w:rPr>
          <w:rFonts w:ascii="Arial" w:hAnsi="Arial" w:cs="Arial"/>
          <w:szCs w:val="22"/>
        </w:rPr>
      </w:pPr>
      <w:r w:rsidRPr="00C852D1">
        <w:rPr>
          <w:rFonts w:ascii="Arial" w:hAnsi="Arial" w:cs="Arial"/>
          <w:szCs w:val="22"/>
        </w:rPr>
        <w:t xml:space="preserve">E: </w:t>
      </w:r>
      <w:r w:rsidR="00A768C9" w:rsidRPr="00A768C9">
        <w:rPr>
          <w:rFonts w:ascii="Arial" w:hAnsi="Arial" w:cs="Arial"/>
          <w:szCs w:val="22"/>
        </w:rPr>
        <w:t>[redacted]</w:t>
      </w:r>
      <w:r w:rsidR="00A768C9" w:rsidRPr="00A768C9">
        <w:rPr>
          <w:rFonts w:ascii="Arial" w:hAnsi="Arial" w:cs="Arial"/>
          <w:szCs w:val="22"/>
        </w:rPr>
        <w:tab/>
      </w:r>
      <w:r w:rsidR="00A768C9" w:rsidRPr="00A768C9">
        <w:rPr>
          <w:rFonts w:ascii="Arial" w:hAnsi="Arial" w:cs="Arial"/>
          <w:szCs w:val="22"/>
        </w:rPr>
        <w:tab/>
      </w:r>
      <w:r w:rsidR="00A768C9">
        <w:tab/>
      </w:r>
      <w:r w:rsidR="00A768C9">
        <w:tab/>
      </w:r>
      <w:r w:rsidR="00A768C9">
        <w:tab/>
      </w:r>
      <w:r w:rsidR="00A768C9">
        <w:tab/>
      </w:r>
      <w:r w:rsidR="00A768C9">
        <w:tab/>
      </w:r>
      <w:r w:rsidR="00A768C9">
        <w:tab/>
      </w:r>
      <w:r w:rsidR="00A768C9">
        <w:tab/>
      </w:r>
      <w:r w:rsidR="00A768C9">
        <w:tab/>
      </w:r>
      <w:r w:rsidR="00A768C9">
        <w:tab/>
      </w:r>
      <w:r w:rsidR="001C5D29" w:rsidRPr="00A768C9">
        <w:rPr>
          <w:rFonts w:ascii="Arial" w:hAnsi="Arial" w:cs="Arial"/>
          <w:szCs w:val="22"/>
        </w:rPr>
        <w:t xml:space="preserve">E: </w:t>
      </w:r>
      <w:hyperlink r:id="rId7" w:history="1">
        <w:r w:rsidR="00A768C9" w:rsidRPr="00A768C9">
          <w:rPr>
            <w:rFonts w:ascii="Arial" w:hAnsi="Arial" w:cs="Arial"/>
            <w:szCs w:val="22"/>
          </w:rPr>
          <w:t>[redacted]</w:t>
        </w:r>
      </w:hyperlink>
      <w:r w:rsidR="001C5D29" w:rsidRPr="001C5D29">
        <w:rPr>
          <w:rFonts w:ascii="Arial" w:hAnsi="Arial" w:cs="Arial"/>
        </w:rPr>
        <w:t xml:space="preserve"> </w:t>
      </w:r>
    </w:p>
    <w:p w14:paraId="5817ED6F" w14:textId="0B3652E0" w:rsidR="00553BD0" w:rsidRPr="00C852D1" w:rsidRDefault="00553BD0" w:rsidP="00553BD0">
      <w:pPr>
        <w:rPr>
          <w:rFonts w:ascii="Arial" w:hAnsi="Arial" w:cs="Arial"/>
          <w:szCs w:val="22"/>
        </w:rPr>
      </w:pPr>
      <w:r w:rsidRPr="00C852D1">
        <w:rPr>
          <w:rFonts w:ascii="Arial" w:hAnsi="Arial" w:cs="Arial"/>
          <w:szCs w:val="22"/>
        </w:rPr>
        <w:t xml:space="preserve">Ph: </w:t>
      </w:r>
      <w:r w:rsidR="00A768C9">
        <w:rPr>
          <w:rFonts w:ascii="Arial" w:hAnsi="Arial" w:cs="Arial"/>
          <w:szCs w:val="22"/>
        </w:rPr>
        <w:t>[redacted]</w:t>
      </w:r>
      <w:r w:rsidR="001C5D29">
        <w:rPr>
          <w:rFonts w:ascii="Arial" w:hAnsi="Arial" w:cs="Arial"/>
          <w:szCs w:val="22"/>
        </w:rPr>
        <w:t xml:space="preserve">                                                                                                                Ph: </w:t>
      </w:r>
      <w:r w:rsidR="00A768C9">
        <w:rPr>
          <w:rFonts w:ascii="Arial" w:hAnsi="Arial" w:cs="Arial"/>
          <w:szCs w:val="22"/>
        </w:rPr>
        <w:t>[redacted]</w:t>
      </w:r>
    </w:p>
    <w:p w14:paraId="59079ED8" w14:textId="4EAA1B90" w:rsidR="00553BD0" w:rsidRDefault="00553BD0"/>
    <w:p w14:paraId="6EF0555A" w14:textId="15074912" w:rsidR="0038085C" w:rsidRDefault="0038085C"/>
    <w:p w14:paraId="538AF641" w14:textId="1515F6BB" w:rsidR="0038085C" w:rsidRDefault="0038085C"/>
    <w:p w14:paraId="06A7129E" w14:textId="5281F118" w:rsidR="0038085C" w:rsidRDefault="0038085C"/>
    <w:p w14:paraId="5E0AFA50" w14:textId="6631ABAC" w:rsidR="0038085C" w:rsidRDefault="0038085C"/>
    <w:p w14:paraId="1A93D2CF" w14:textId="340B0333" w:rsidR="0038085C" w:rsidRDefault="0038085C"/>
    <w:p w14:paraId="5C28A266" w14:textId="77777777" w:rsidR="0038085C" w:rsidRDefault="0038085C"/>
    <w:sectPr w:rsidR="0038085C" w:rsidSect="00244A14">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20" w:footer="720" w:gutter="0"/>
      <w:paperSrc w:first="1" w:other="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D58CF" w14:textId="77777777" w:rsidR="006C2004" w:rsidRDefault="006C2004">
      <w:r>
        <w:separator/>
      </w:r>
    </w:p>
  </w:endnote>
  <w:endnote w:type="continuationSeparator" w:id="0">
    <w:p w14:paraId="1F6D56A8" w14:textId="77777777" w:rsidR="006C2004" w:rsidRDefault="006C2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3D2D" w14:textId="77777777" w:rsidR="00650FDE" w:rsidRDefault="00650F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AA4F4" w14:textId="77777777" w:rsidR="00650FDE" w:rsidRPr="009670CD" w:rsidRDefault="00FF551F" w:rsidP="00026776">
    <w:pPr>
      <w:pStyle w:val="Footer"/>
      <w:rPr>
        <w:sz w:val="16"/>
      </w:rPr>
    </w:pPr>
    <w:r>
      <w:rPr>
        <w:noProof/>
        <w:lang w:eastAsia="en-AU"/>
      </w:rPr>
      <w:fldChar w:fldCharType="begin"/>
    </w:r>
    <w:r>
      <w:rPr>
        <w:noProof/>
        <w:lang w:eastAsia="en-AU"/>
      </w:rPr>
      <mc:AlternateContent>
        <mc:Choice Requires="wps">
          <w:drawing>
            <wp:anchor distT="0" distB="0" distL="114300" distR="114300" simplePos="0" relativeHeight="251659264" behindDoc="0" locked="1" layoutInCell="0" allowOverlap="1" wp14:anchorId="6E56D539" wp14:editId="143ED9B4">
              <wp:simplePos x="0" y="0"/>
              <wp:positionH relativeFrom="page">
                <wp:posOffset>1573530</wp:posOffset>
              </wp:positionH>
              <wp:positionV relativeFrom="page">
                <wp:posOffset>4021455</wp:posOffset>
              </wp:positionV>
              <wp:extent cx="4629785" cy="13811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4629785" cy="1381125"/>
                      </a:xfrm>
                      <a:prstGeom prst="rect">
                        <a:avLst/>
                      </a:prstGeom>
                      <a:extLst>
                        <a:ext uri="{AF507438-7753-43E0-B8FC-AC1667EBCBE1}">
                          <a14:hiddenEffects xmlns:a14="http://schemas.microsoft.com/office/drawing/2010/main">
                            <a:effectLst/>
                          </a14:hiddenEffects>
                        </a:ext>
                      </a:extLst>
                    </wps:spPr>
                    <wps:txbx>
                      <w:txbxContent>
                        <w:p w14:paraId="52CEAB77" w14:textId="77777777" w:rsidR="00650FDE" w:rsidRDefault="00FF551F" w:rsidP="001D401E">
                          <w:pPr>
                            <w:pStyle w:val="NormalWeb"/>
                            <w:spacing w:before="0" w:beforeAutospacing="0" w:after="0" w:afterAutospacing="0"/>
                            <w:jc w:val="center"/>
                          </w:pPr>
                          <w:r>
                            <w:rPr>
                              <w:rFonts w:ascii="Arial Black" w:hAnsi="Arial Black"/>
                              <w:color w:val="DDDDDD"/>
                              <w:sz w:val="144"/>
                              <w:szCs w:val="144"/>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E56D539" id="_x0000_t202" coordsize="21600,21600" o:spt="202" path="m,l,21600r21600,l21600,xe">
              <v:stroke joinstyle="miter"/>
              <v:path gradientshapeok="t" o:connecttype="rect"/>
            </v:shapetype>
            <v:shape id="Text Box 3" o:spid="_x0000_s1026" type="#_x0000_t202" style="position:absolute;left:0;text-align:left;margin-left:123.9pt;margin-top:316.65pt;width:364.55pt;height:108.75pt;rotation:-4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" o:allowincell="f" filled="f" stroked="f">
              <o:lock v:ext="edit" shapetype="t"/>
              <v:textbox style="mso-fit-shape-to-text:t">
                <w:txbxContent>
                  <w:p w14:paraId="52CEAB77" w14:textId="77777777" w:rsidR="00650FDE" w:rsidRDefault="00FF551F" w:rsidP="001D401E">
                    <w:pPr>
                      <w:pStyle w:val="NormalWeb"/>
                      <w:spacing w:before="0" w:beforeAutospacing="0" w:after="0" w:afterAutospacing="0"/>
                      <w:jc w:val="center"/>
                    </w:pPr>
                    <w:r>
                      <w:rPr>
                        <w:rFonts w:ascii="Arial Black" w:hAnsi="Arial Black"/>
                        <w:color w:val="DDDDDD"/>
                        <w:sz w:val="144"/>
                        <w:szCs w:val="144"/>
                      </w:rPr>
                      <w:t>Draft</w:t>
                    </w:r>
                  </w:p>
                </w:txbxContent>
              </v:textbox>
              <w10:wrap anchorx="page" anchory="page"/>
              <w10:anchorlock/>
            </v:shape>
          </w:pict>
        </mc:Fallback>
      </mc:AlternateContent>
    </w:r>
    <w:r>
      <w:rPr>
        <w:sz w:val="16"/>
      </w:rPr>
      <w:instrText xml:space="preserve"> FILENAME \p  \* MERGEFORMAT </w:instrText>
    </w:r>
    <w:r>
      <w:rPr>
        <w:noProof/>
        <w:lang w:eastAsia="en-AU"/>
      </w:rPr>
      <w:fldChar w:fldCharType="separate"/>
    </w:r>
    <w:r>
      <w:rPr>
        <w:noProof/>
        <w:sz w:val="16"/>
      </w:rPr>
      <w:t>M:\Docs\20140025\804072.rtf</w:t>
    </w:r>
    <w:r>
      <w:rPr>
        <w:noProof/>
        <w:lang w:eastAsia="en-AU"/>
      </w:rPr>
      <w:fldChar w:fldCharType="end"/>
    </w:r>
    <w:r>
      <w:rPr>
        <w:sz w:val="16"/>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98F5" w14:textId="77777777" w:rsidR="00650FDE" w:rsidRPr="009670CD" w:rsidRDefault="00FF551F" w:rsidP="00026776">
    <w:pPr>
      <w:pStyle w:val="Footer"/>
      <w:rPr>
        <w:sz w:val="16"/>
      </w:rPr>
    </w:pPr>
    <w:r>
      <w:rPr>
        <w:noProof/>
        <w:lang w:eastAsia="en-AU"/>
      </w:rPr>
      <w:fldChar w:fldCharType="begin"/>
    </w:r>
    <w:r>
      <w:rPr>
        <w:noProof/>
        <w:lang w:eastAsia="en-AU"/>
      </w:rPr>
      <mc:AlternateContent>
        <mc:Choice Requires="wps">
          <w:drawing>
            <wp:anchor distT="0" distB="0" distL="114300" distR="114300" simplePos="0" relativeHeight="251660288" behindDoc="0" locked="1" layoutInCell="0" allowOverlap="1" wp14:anchorId="4A329ABE" wp14:editId="12674863">
              <wp:simplePos x="0" y="0"/>
              <wp:positionH relativeFrom="page">
                <wp:posOffset>1573530</wp:posOffset>
              </wp:positionH>
              <wp:positionV relativeFrom="page">
                <wp:posOffset>4021455</wp:posOffset>
              </wp:positionV>
              <wp:extent cx="4629785" cy="13811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4629785" cy="1381125"/>
                      </a:xfrm>
                      <a:prstGeom prst="rect">
                        <a:avLst/>
                      </a:prstGeom>
                      <a:extLst>
                        <a:ext uri="{AF507438-7753-43E0-B8FC-AC1667EBCBE1}">
                          <a14:hiddenEffects xmlns:a14="http://schemas.microsoft.com/office/drawing/2010/main">
                            <a:effectLst/>
                          </a14:hiddenEffects>
                        </a:ext>
                      </a:extLst>
                    </wps:spPr>
                    <wps:txbx>
                      <w:txbxContent>
                        <w:p w14:paraId="30FD16DA" w14:textId="77777777" w:rsidR="00650FDE" w:rsidRDefault="00FF551F" w:rsidP="001D401E">
                          <w:pPr>
                            <w:pStyle w:val="NormalWeb"/>
                            <w:spacing w:before="0" w:beforeAutospacing="0" w:after="0" w:afterAutospacing="0"/>
                            <w:jc w:val="center"/>
                          </w:pPr>
                          <w:r>
                            <w:rPr>
                              <w:rFonts w:ascii="Arial Black" w:hAnsi="Arial Black"/>
                              <w:color w:val="DDDDDD"/>
                              <w:sz w:val="144"/>
                              <w:szCs w:val="144"/>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A329ABE" id="_x0000_t202" coordsize="21600,21600" o:spt="202" path="m,l,21600r21600,l21600,xe">
              <v:stroke joinstyle="miter"/>
              <v:path gradientshapeok="t" o:connecttype="rect"/>
            </v:shapetype>
            <v:shape id="Text Box 2" o:spid="_x0000_s1027" type="#_x0000_t202" style="position:absolute;left:0;text-align:left;margin-left:123.9pt;margin-top:316.65pt;width:364.55pt;height:108.75pt;rotation:-4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" o:allowincell="f" filled="f" stroked="f">
              <o:lock v:ext="edit" shapetype="t"/>
              <v:textbox style="mso-fit-shape-to-text:t">
                <w:txbxContent>
                  <w:p w14:paraId="30FD16DA" w14:textId="77777777" w:rsidR="00650FDE" w:rsidRDefault="00FF551F" w:rsidP="001D401E">
                    <w:pPr>
                      <w:pStyle w:val="NormalWeb"/>
                      <w:spacing w:before="0" w:beforeAutospacing="0" w:after="0" w:afterAutospacing="0"/>
                      <w:jc w:val="center"/>
                    </w:pPr>
                    <w:r>
                      <w:rPr>
                        <w:rFonts w:ascii="Arial Black" w:hAnsi="Arial Black"/>
                        <w:color w:val="DDDDDD"/>
                        <w:sz w:val="144"/>
                        <w:szCs w:val="144"/>
                      </w:rPr>
                      <w:t>Draft</w:t>
                    </w:r>
                  </w:p>
                </w:txbxContent>
              </v:textbox>
              <w10:wrap anchorx="page" anchory="page"/>
              <w10:anchorlock/>
            </v:shape>
          </w:pict>
        </mc:Fallback>
      </mc:AlternateContent>
    </w:r>
    <w:r>
      <w:rPr>
        <w:sz w:val="16"/>
      </w:rPr>
      <w:instrText xml:space="preserve"> FILENAME \p  \* MERGEFORMAT </w:instrText>
    </w:r>
    <w:r>
      <w:rPr>
        <w:noProof/>
        <w:lang w:eastAsia="en-AU"/>
      </w:rPr>
      <w:fldChar w:fldCharType="separate"/>
    </w:r>
    <w:r>
      <w:rPr>
        <w:noProof/>
        <w:sz w:val="16"/>
      </w:rPr>
      <w:t>M:\Docs\20140025\804072.rtf</w:t>
    </w:r>
    <w:r>
      <w:rPr>
        <w:noProof/>
        <w:lang w:eastAsia="en-AU"/>
      </w:rPr>
      <w:fldChar w:fldCharType="end"/>
    </w:r>
    <w:r>
      <w:rPr>
        <w:sz w:val="16"/>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494D5" w14:textId="77777777" w:rsidR="006C2004" w:rsidRDefault="006C2004">
      <w:r>
        <w:separator/>
      </w:r>
    </w:p>
  </w:footnote>
  <w:footnote w:type="continuationSeparator" w:id="0">
    <w:p w14:paraId="69BA3425" w14:textId="77777777" w:rsidR="006C2004" w:rsidRDefault="006C2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97739" w14:textId="77777777" w:rsidR="00650FDE" w:rsidRDefault="00650F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87F0D" w14:textId="77777777" w:rsidR="00650FDE" w:rsidRDefault="00650F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684C" w14:textId="77777777" w:rsidR="00650FDE" w:rsidRDefault="00650F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BD0"/>
    <w:rsid w:val="00012F79"/>
    <w:rsid w:val="000142B5"/>
    <w:rsid w:val="000505F6"/>
    <w:rsid w:val="000515A7"/>
    <w:rsid w:val="0006047D"/>
    <w:rsid w:val="000635A0"/>
    <w:rsid w:val="00063FF6"/>
    <w:rsid w:val="00065772"/>
    <w:rsid w:val="0008413F"/>
    <w:rsid w:val="000D1C5A"/>
    <w:rsid w:val="000D32FC"/>
    <w:rsid w:val="000F2004"/>
    <w:rsid w:val="00114DE7"/>
    <w:rsid w:val="001404BE"/>
    <w:rsid w:val="00156065"/>
    <w:rsid w:val="00157916"/>
    <w:rsid w:val="001749F5"/>
    <w:rsid w:val="001C5D29"/>
    <w:rsid w:val="001C61C3"/>
    <w:rsid w:val="001F1891"/>
    <w:rsid w:val="001F49CD"/>
    <w:rsid w:val="00203AB2"/>
    <w:rsid w:val="00206A82"/>
    <w:rsid w:val="002828FC"/>
    <w:rsid w:val="002A10A5"/>
    <w:rsid w:val="002C7A65"/>
    <w:rsid w:val="002E477B"/>
    <w:rsid w:val="00316358"/>
    <w:rsid w:val="003332C8"/>
    <w:rsid w:val="00344FA7"/>
    <w:rsid w:val="0035169C"/>
    <w:rsid w:val="0038085C"/>
    <w:rsid w:val="00384FC9"/>
    <w:rsid w:val="003E0DC6"/>
    <w:rsid w:val="00443363"/>
    <w:rsid w:val="004807BD"/>
    <w:rsid w:val="00496AA9"/>
    <w:rsid w:val="004D5499"/>
    <w:rsid w:val="004D7B28"/>
    <w:rsid w:val="004F2E75"/>
    <w:rsid w:val="004F661A"/>
    <w:rsid w:val="00515D90"/>
    <w:rsid w:val="00535F7F"/>
    <w:rsid w:val="00553BD0"/>
    <w:rsid w:val="00561951"/>
    <w:rsid w:val="005632CF"/>
    <w:rsid w:val="005671DB"/>
    <w:rsid w:val="00571F3E"/>
    <w:rsid w:val="00576790"/>
    <w:rsid w:val="005C2B22"/>
    <w:rsid w:val="005C73C9"/>
    <w:rsid w:val="005F1330"/>
    <w:rsid w:val="00622E9E"/>
    <w:rsid w:val="00631CC5"/>
    <w:rsid w:val="00650FDE"/>
    <w:rsid w:val="00656AEA"/>
    <w:rsid w:val="006606A8"/>
    <w:rsid w:val="006A24F1"/>
    <w:rsid w:val="006A5520"/>
    <w:rsid w:val="006B05D2"/>
    <w:rsid w:val="006C2004"/>
    <w:rsid w:val="006E30FE"/>
    <w:rsid w:val="00701121"/>
    <w:rsid w:val="00704A1D"/>
    <w:rsid w:val="00771F7D"/>
    <w:rsid w:val="007941A8"/>
    <w:rsid w:val="007A0E82"/>
    <w:rsid w:val="007E2939"/>
    <w:rsid w:val="00815F67"/>
    <w:rsid w:val="009202D7"/>
    <w:rsid w:val="00923584"/>
    <w:rsid w:val="00965B5B"/>
    <w:rsid w:val="00973332"/>
    <w:rsid w:val="009E60ED"/>
    <w:rsid w:val="009F458A"/>
    <w:rsid w:val="009F6A7E"/>
    <w:rsid w:val="00A00C3A"/>
    <w:rsid w:val="00A261C0"/>
    <w:rsid w:val="00A55990"/>
    <w:rsid w:val="00A768C9"/>
    <w:rsid w:val="00AC0353"/>
    <w:rsid w:val="00AC412C"/>
    <w:rsid w:val="00AF6912"/>
    <w:rsid w:val="00B603BA"/>
    <w:rsid w:val="00B73A18"/>
    <w:rsid w:val="00B85A10"/>
    <w:rsid w:val="00BA0EC1"/>
    <w:rsid w:val="00BC11DF"/>
    <w:rsid w:val="00BD3479"/>
    <w:rsid w:val="00BD5C68"/>
    <w:rsid w:val="00C23049"/>
    <w:rsid w:val="00C237D9"/>
    <w:rsid w:val="00C95C1C"/>
    <w:rsid w:val="00CB2A68"/>
    <w:rsid w:val="00CE2DCF"/>
    <w:rsid w:val="00D45A4E"/>
    <w:rsid w:val="00D64B7D"/>
    <w:rsid w:val="00D7346D"/>
    <w:rsid w:val="00D84B8F"/>
    <w:rsid w:val="00D91C00"/>
    <w:rsid w:val="00D972AC"/>
    <w:rsid w:val="00DC143B"/>
    <w:rsid w:val="00DC67CB"/>
    <w:rsid w:val="00DE0A1C"/>
    <w:rsid w:val="00E05EB4"/>
    <w:rsid w:val="00E62BCC"/>
    <w:rsid w:val="00E75F09"/>
    <w:rsid w:val="00EA06C8"/>
    <w:rsid w:val="00EC6307"/>
    <w:rsid w:val="00ED1C11"/>
    <w:rsid w:val="00ED5EE1"/>
    <w:rsid w:val="00EE355D"/>
    <w:rsid w:val="00F15EE8"/>
    <w:rsid w:val="00F5764F"/>
    <w:rsid w:val="00FA7214"/>
    <w:rsid w:val="00FD16FA"/>
    <w:rsid w:val="00FD21BF"/>
    <w:rsid w:val="00FE0696"/>
    <w:rsid w:val="00FF551F"/>
    <w:rsid w:val="00FF58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29842"/>
  <w15:chartTrackingRefBased/>
  <w15:docId w15:val="{28E01377-6CB6-44F8-A901-F85142037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BD0"/>
    <w:pPr>
      <w:spacing w:after="0" w:line="240" w:lineRule="auto"/>
      <w:jc w:val="both"/>
    </w:pPr>
    <w:rPr>
      <w:rFonts w:ascii="Times New Roman" w:eastAsia="Times New Roman" w:hAnsi="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3BD0"/>
    <w:pPr>
      <w:tabs>
        <w:tab w:val="center" w:pos="4153"/>
        <w:tab w:val="right" w:pos="8306"/>
      </w:tabs>
    </w:pPr>
  </w:style>
  <w:style w:type="character" w:customStyle="1" w:styleId="HeaderChar">
    <w:name w:val="Header Char"/>
    <w:basedOn w:val="DefaultParagraphFont"/>
    <w:link w:val="Header"/>
    <w:uiPriority w:val="99"/>
    <w:rsid w:val="00553BD0"/>
    <w:rPr>
      <w:rFonts w:ascii="Times New Roman" w:eastAsia="Times New Roman" w:hAnsi="Times New Roman" w:cs="Times New Roman"/>
      <w:kern w:val="0"/>
      <w:szCs w:val="24"/>
      <w14:ligatures w14:val="none"/>
    </w:rPr>
  </w:style>
  <w:style w:type="paragraph" w:styleId="Footer">
    <w:name w:val="footer"/>
    <w:basedOn w:val="Normal"/>
    <w:link w:val="FooterChar"/>
    <w:uiPriority w:val="99"/>
    <w:rsid w:val="00553BD0"/>
    <w:pPr>
      <w:tabs>
        <w:tab w:val="center" w:pos="4153"/>
        <w:tab w:val="right" w:pos="8306"/>
      </w:tabs>
    </w:pPr>
  </w:style>
  <w:style w:type="character" w:customStyle="1" w:styleId="FooterChar">
    <w:name w:val="Footer Char"/>
    <w:basedOn w:val="DefaultParagraphFont"/>
    <w:link w:val="Footer"/>
    <w:uiPriority w:val="99"/>
    <w:rsid w:val="00553BD0"/>
    <w:rPr>
      <w:rFonts w:ascii="Times New Roman" w:eastAsia="Times New Roman" w:hAnsi="Times New Roman" w:cs="Times New Roman"/>
      <w:kern w:val="0"/>
      <w:szCs w:val="24"/>
      <w14:ligatures w14:val="none"/>
    </w:rPr>
  </w:style>
  <w:style w:type="paragraph" w:styleId="NormalWeb">
    <w:name w:val="Normal (Web)"/>
    <w:basedOn w:val="Normal"/>
    <w:uiPriority w:val="99"/>
    <w:semiHidden/>
    <w:unhideWhenUsed/>
    <w:rsid w:val="00553BD0"/>
    <w:pPr>
      <w:spacing w:before="100" w:beforeAutospacing="1" w:after="100" w:afterAutospacing="1"/>
      <w:jc w:val="left"/>
    </w:pPr>
    <w:rPr>
      <w:rFonts w:eastAsiaTheme="minorEastAsia"/>
      <w:sz w:val="24"/>
      <w:lang w:eastAsia="en-AU"/>
    </w:rPr>
  </w:style>
  <w:style w:type="character" w:styleId="Hyperlink">
    <w:name w:val="Hyperlink"/>
    <w:basedOn w:val="DefaultParagraphFont"/>
    <w:uiPriority w:val="99"/>
    <w:unhideWhenUsed/>
    <w:rsid w:val="00553BD0"/>
    <w:rPr>
      <w:color w:val="0563C1" w:themeColor="hyperlink"/>
      <w:u w:val="single"/>
    </w:rPr>
  </w:style>
  <w:style w:type="character" w:styleId="UnresolvedMention">
    <w:name w:val="Unresolved Mention"/>
    <w:basedOn w:val="DefaultParagraphFont"/>
    <w:uiPriority w:val="99"/>
    <w:semiHidden/>
    <w:unhideWhenUsed/>
    <w:rsid w:val="00553B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Emily@gracesolicitors.com.au"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6ED6E2-E153-4BEC-B4FA-1558F77FDF92}"/>
</file>

<file path=customXml/itemProps2.xml><?xml version="1.0" encoding="utf-8"?>
<ds:datastoreItem xmlns:ds="http://schemas.openxmlformats.org/officeDocument/2006/customXml" ds:itemID="{D3B54087-C9E9-40FE-BD23-DE5F601B3FFE}"/>
</file>

<file path=customXml/itemProps3.xml><?xml version="1.0" encoding="utf-8"?>
<ds:datastoreItem xmlns:ds="http://schemas.openxmlformats.org/officeDocument/2006/customXml" ds:itemID="{4D277AA9-3C55-4AA4-B768-6675F604FC3B}"/>
</file>

<file path=docProps/app.xml><?xml version="1.0" encoding="utf-8"?>
<Properties xmlns="http://schemas.openxmlformats.org/officeDocument/2006/extended-properties" xmlns:vt="http://schemas.openxmlformats.org/officeDocument/2006/docPropsVTypes">
  <Template>Normal.dotm</Template>
  <TotalTime>1</TotalTime>
  <Pages>2</Pages>
  <Words>1285</Words>
  <Characters>7327</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signed 2025 Conference Presentation Letter</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signed 2025 Conference Presentation Letter</dc:title>
  <dc:subject/>
  <dc:creator>Linsey Wilson</dc:creator>
  <cp:keywords>[SEC=OFFICIAL]</cp:keywords>
  <dc:description/>
  <cp:lastModifiedBy>BROOME, Lily</cp:lastModifiedBy>
  <cp:revision>2</cp:revision>
  <cp:lastPrinted>2023-10-04T09:58:00Z</cp:lastPrinted>
  <dcterms:created xsi:type="dcterms:W3CDTF">2026-09-02T04:09:00Z</dcterms:created>
  <dcterms:modified xsi:type="dcterms:W3CDTF">2026-09-02T04:09:00Z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entFolderId">
    <vt:lpwstr/>
  </property>
  <property fmtid="{D5CDD505-2E9C-101B-9397-08002B2CF9AE}" pid="3" name="PM_Caveats_Count">
    <vt:lpwstr>0</vt:lpwstr>
  </property>
  <property fmtid="{D5CDD505-2E9C-101B-9397-08002B2CF9AE}" pid="4" name="PM_Namespace">
    <vt:lpwstr>gov.au</vt:lpwstr>
  </property>
  <property fmtid="{D5CDD505-2E9C-101B-9397-08002B2CF9AE}" pid="5" name="PM_Version">
    <vt:lpwstr>2018.4</vt:lpwstr>
  </property>
  <property fmtid="{D5CDD505-2E9C-101B-9397-08002B2CF9AE}" pid="6" name="MSIP_Label_eb34d90b-fc41-464d-af60-f74d721d0790_Name">
    <vt:lpwstr>OFFICIAL</vt:lpwstr>
  </property>
  <property fmtid="{D5CDD505-2E9C-101B-9397-08002B2CF9AE}" pid="7" name="PM_Note">
    <vt:lpwstr/>
  </property>
  <property fmtid="{D5CDD505-2E9C-101B-9397-08002B2CF9AE}" pid="8" name="PMHMAC">
    <vt:lpwstr>v=2024.1;a=SHA256;h=4C53CB310D54A00284A081BFA659E638FB3EAF0B427F511DCC43D9E8C14BF7F3</vt:lpwstr>
  </property>
  <property fmtid="{D5CDD505-2E9C-101B-9397-08002B2CF9AE}" pid="9" name="PM_Qualifier">
    <vt:lpwstr/>
  </property>
  <property fmtid="{D5CDD505-2E9C-101B-9397-08002B2CF9AE}" pid="10" name="PM_SecurityClassification">
    <vt:lpwstr>OFFICIAL</vt:lpwstr>
  </property>
  <property fmtid="{D5CDD505-2E9C-101B-9397-08002B2CF9AE}" pid="11" name="PM_ProtectiveMarkingValue_Header">
    <vt:lpwstr>OFFICIAL</vt:lpwstr>
  </property>
  <property fmtid="{D5CDD505-2E9C-101B-9397-08002B2CF9AE}" pid="12" name="PM_OriginationTimeStamp">
    <vt:lpwstr>2026-08-04T02:14:28Z</vt:lpwstr>
  </property>
  <property fmtid="{D5CDD505-2E9C-101B-9397-08002B2CF9AE}" pid="13" name="PM_Markers">
    <vt:lpwstr/>
  </property>
  <property fmtid="{D5CDD505-2E9C-101B-9397-08002B2CF9AE}" pid="14" name="PM_DownTo">
    <vt:lpwstr/>
  </property>
  <property fmtid="{D5CDD505-2E9C-101B-9397-08002B2CF9AE}" pid="15" name="PM_DisplayValueSecClassificationWithQualifier">
    <vt:lpwstr>OFFICIAL</vt:lpwstr>
  </property>
  <property fmtid="{D5CDD505-2E9C-101B-9397-08002B2CF9AE}" pid="16" name="PM_Expires">
    <vt:lpwstr/>
  </property>
  <property fmtid="{D5CDD505-2E9C-101B-9397-08002B2CF9AE}" pid="17" name="PM_InsertionValue">
    <vt:lpwstr>OFFICIAL</vt:lpwstr>
  </property>
  <property fmtid="{D5CDD505-2E9C-101B-9397-08002B2CF9AE}" pid="18" name="PM_DowngradeTo">
    <vt:lpwstr/>
  </property>
  <property fmtid="{D5CDD505-2E9C-101B-9397-08002B2CF9AE}" pid="19" name="MSIP_Label_eb34d90b-fc41-464d-af60-f74d721d0790_SiteId">
    <vt:lpwstr>61e36dd1-ca6e-4d61-aa0a-2b4eb88317a3</vt:lpwstr>
  </property>
  <property fmtid="{D5CDD505-2E9C-101B-9397-08002B2CF9AE}" pid="20" name="MSIP_Label_eb34d90b-fc41-464d-af60-f74d721d0790_ContentBits">
    <vt:lpwstr>3</vt:lpwstr>
  </property>
  <property fmtid="{D5CDD505-2E9C-101B-9397-08002B2CF9AE}" pid="21" name="MSIP_Label_eb34d90b-fc41-464d-af60-f74d721d0790_Enabled">
    <vt:lpwstr>true</vt:lpwstr>
  </property>
  <property fmtid="{D5CDD505-2E9C-101B-9397-08002B2CF9AE}" pid="22" name="MSIP_Label_eb34d90b-fc41-464d-af60-f74d721d0790_SetDate">
    <vt:lpwstr>2026-08-04T02:14:28Z</vt:lpwstr>
  </property>
  <property fmtid="{D5CDD505-2E9C-101B-9397-08002B2CF9AE}" pid="23" name="MSIP_Label_eb34d90b-fc41-464d-af60-f74d721d0790_Method">
    <vt:lpwstr>Privileged</vt:lpwstr>
  </property>
  <property fmtid="{D5CDD505-2E9C-101B-9397-08002B2CF9AE}" pid="24" name="MSIP_Label_eb34d90b-fc41-464d-af60-f74d721d0790_ActionId">
    <vt:lpwstr>618605868576442b8b78df530b51d94e</vt:lpwstr>
  </property>
  <property fmtid="{D5CDD505-2E9C-101B-9397-08002B2CF9AE}" pid="25" name="PM_Originator_Hash_SHA1">
    <vt:lpwstr>3AA0E172017622A8E7144DEB2BD98BD89D95B6C7</vt:lpwstr>
  </property>
  <property fmtid="{D5CDD505-2E9C-101B-9397-08002B2CF9AE}" pid="26" name="PM_Originating_FileId">
    <vt:lpwstr>E1E288C05D0C41418884BC3636475DE9</vt:lpwstr>
  </property>
  <property fmtid="{D5CDD505-2E9C-101B-9397-08002B2CF9AE}" pid="27" name="PM_ProtectiveMarkingValue_Footer">
    <vt:lpwstr>OFFICIAL</vt:lpwstr>
  </property>
  <property fmtid="{D5CDD505-2E9C-101B-9397-08002B2CF9AE}" pid="28" name="PM_Display">
    <vt:lpwstr>OFFICIAL</vt:lpwstr>
  </property>
  <property fmtid="{D5CDD505-2E9C-101B-9397-08002B2CF9AE}" pid="29" name="PM_OriginatorUserAccountName_SHA256">
    <vt:lpwstr>74E0347FB9C9DDFB6F291200F206C6D045F5244E903E0BC0AD96D43A257C356F</vt:lpwstr>
  </property>
  <property fmtid="{D5CDD505-2E9C-101B-9397-08002B2CF9AE}" pid="30" name="PM_OriginatorDomainName_SHA256">
    <vt:lpwstr>E83A2A66C4061446A7E3732E8D44762184B6B377D962B96C83DC624302585857</vt:lpwstr>
  </property>
  <property fmtid="{D5CDD505-2E9C-101B-9397-08002B2CF9AE}" pid="31" name="PMUuid">
    <vt:lpwstr>v=2022.2;d=gov.au;g=46DD6D7C-8107-577B-BC6E-F348953B2E44</vt:lpwstr>
  </property>
  <property fmtid="{D5CDD505-2E9C-101B-9397-08002B2CF9AE}" pid="32" name="PM_Hash_Version">
    <vt:lpwstr>2024.1</vt:lpwstr>
  </property>
  <property fmtid="{D5CDD505-2E9C-101B-9397-08002B2CF9AE}" pid="33" name="PM_Hash_Salt_Prev">
    <vt:lpwstr>587DE5801BB1FF406810A6C5A4834936</vt:lpwstr>
  </property>
  <property fmtid="{D5CDD505-2E9C-101B-9397-08002B2CF9AE}" pid="34" name="PM_Hash_Salt">
    <vt:lpwstr>B5F1188A3063A81B2D9A0E2C076531F8</vt:lpwstr>
  </property>
  <property fmtid="{D5CDD505-2E9C-101B-9397-08002B2CF9AE}" pid="35" name="PM_Hash_SHA1">
    <vt:lpwstr>776E77B90A40AF351A45A0A07F2D5F0F4F27B2AE</vt:lpwstr>
  </property>
  <property fmtid="{D5CDD505-2E9C-101B-9397-08002B2CF9AE}" pid="36" name="ContentTypeId">
    <vt:lpwstr>0x010100FB7776D50AC9C9429F45CBB78018DFD0</vt:lpwstr>
  </property>
</Properties>
</file>