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4744" w14:textId="7F529C39" w:rsidR="0023679E" w:rsidRDefault="00C01C0E">
      <w:pPr>
        <w:rPr>
          <w:b/>
          <w:bCs/>
        </w:rPr>
      </w:pPr>
      <w:r w:rsidRPr="00C01C0E">
        <w:rPr>
          <w:b/>
          <w:bCs/>
        </w:rPr>
        <w:t>Illawarra Women's Trauma Recovery Centre</w:t>
      </w:r>
    </w:p>
    <w:p w14:paraId="7D173F5B" w14:textId="091EBE60" w:rsidR="00C01C0E" w:rsidRDefault="00C01C0E">
      <w:pPr>
        <w:rPr>
          <w:b/>
          <w:bCs/>
        </w:rPr>
      </w:pPr>
      <w:r w:rsidRPr="00C01C0E">
        <w:rPr>
          <w:b/>
          <w:bCs/>
        </w:rPr>
        <w:t>Feedback for Priority Area 1: Victim-survivors</w:t>
      </w:r>
    </w:p>
    <w:p w14:paraId="16A95E3E" w14:textId="2775C413" w:rsidR="00C01C0E" w:rsidRDefault="00C01C0E" w:rsidP="00C01C0E">
      <w:r>
        <w:t xml:space="preserve">Availability of long-term healing and recovery services </w:t>
      </w:r>
    </w:p>
    <w:p w14:paraId="30498134" w14:textId="6BEFD954" w:rsidR="00C01C0E" w:rsidRDefault="00C01C0E" w:rsidP="00C01C0E">
      <w:r>
        <w:t xml:space="preserve">The availability of long-term, multidisciplinary healing and recovery supports make a significant difference to victim-survivors’ safety, wellbeing, healing and recovery. During the co-design process of the Centre, victim-survivors were asked what healing and recovery meant to them. Although approaches to healing and recovery varied, respondents all agreed that healing and recovery was a continual and lifelong process (Cullen et al, 2021, p.13).  </w:t>
      </w:r>
    </w:p>
    <w:p w14:paraId="6D3348C7" w14:textId="6B714FD8" w:rsidR="00C01C0E" w:rsidRDefault="00C01C0E" w:rsidP="00C01C0E">
      <w:r>
        <w:t xml:space="preserve">Failure to address the trauma caused by gendered violence increases the likelihood of other negative health outcomes for victim-survivors and has a significant economic and social cost (Illawarra Women’s Health Centre 2021, p.19). Currently, domestic, family and sexual violence services in Australia primarily provide immediate and crisis support for victim-survivors of violence. This response fails to address the ongoing impacts of violence, leaving victim-survivors and their children unsafe, unwell and unsupported.   </w:t>
      </w:r>
    </w:p>
    <w:p w14:paraId="24CFFCB3" w14:textId="7510F3B2" w:rsidR="00C01C0E" w:rsidRDefault="00C01C0E" w:rsidP="00C01C0E">
      <w:r>
        <w:t xml:space="preserve">Since its establishment in 2024, the Centre has seen a rapid increase in demand. Between January and March of 2026, there were 120 women on the service waitlist with an average wait time of 3-4 months. The demand for the Centre, emphasises how vital and valued trauma recovery is for victim-survivors of gender-based violence, and the gaps in the existing service system. </w:t>
      </w:r>
    </w:p>
    <w:p w14:paraId="4F7F079C" w14:textId="2661F8F7" w:rsidR="00C01C0E" w:rsidRDefault="00C01C0E" w:rsidP="00C01C0E">
      <w:r>
        <w:t xml:space="preserve">Access to specialist, violence-informed therapeutic care </w:t>
      </w:r>
    </w:p>
    <w:p w14:paraId="471CFE1C" w14:textId="1798D49B" w:rsidR="00C01C0E" w:rsidRDefault="00C01C0E" w:rsidP="00C01C0E">
      <w:r>
        <w:t xml:space="preserve">Healing and recovery from gendered violence is complex and requires a specialist approach. Mainstream mental health services often fail to effectively and safely respond to experiences of domestic, family and sexual violence (Trevillion et al. 2014, p.441). Traditional exposure therapies, or relationship therapies which fail to recognise patterns of abuse can cause further harm to victim-survivors (Cullen et al. 2022, p.40). The therapeutic care offered by the Centre is specialist and domestic, family and sexual violence informed. Over 70 percent of women who have accessed support from the Centre in its first 2 years of operation have engaged in counselling. On average, service-users of the Centre have engaged in 3 therapeutic services, offering women multiple, specialist pathways to support healing.  </w:t>
      </w:r>
    </w:p>
    <w:p w14:paraId="3E4D5D7A" w14:textId="77777777" w:rsidR="00C01C0E" w:rsidRDefault="00C01C0E" w:rsidP="00C01C0E">
      <w:r>
        <w:t xml:space="preserve">The Centre’s services and model of care are designed to be replicable. Investment in national women’s trauma recovery centres, which provide domestic, family and sexual violence-informed therapies, would mean that victim-survivors across Australia are less likely to be exposed to ineffective or harmful therapy. This would substantially improve victim-survivors’ experience of and trust in the service system and long-term healing outcomes. </w:t>
      </w:r>
    </w:p>
    <w:p w14:paraId="2AD71CAF" w14:textId="5D20EC9D" w:rsidR="00C01C0E" w:rsidRDefault="00C01C0E" w:rsidP="00C01C0E">
      <w:r>
        <w:lastRenderedPageBreak/>
        <w:t xml:space="preserve">Investing in healing and recovery responds to the needs of diverse communities </w:t>
      </w:r>
    </w:p>
    <w:p w14:paraId="1955F257" w14:textId="5322269D" w:rsidR="00C01C0E" w:rsidRDefault="00C01C0E" w:rsidP="00C01C0E">
      <w:r>
        <w:t xml:space="preserve">A service system that is funded primarily for crisis intervention often fails to adequately respond to the needs of diverse communities (Cullen et al. 2022, p.14). Therapeutic and longer-term responses can be more effective for marginalised communities, whose experience of violence is often compounded by intersecting systems of oppression. The Centre approach to recovery works to address both individual healing and the impacts of systemic harm. The service, which does not cap the length of treatment or number of sessions, has greater capacity to build trust with victim-survivors who fear discriminatory service responses, or have negative experiences of services. Instead, a woman’s ongoing access to support is linked to her healing goals with support tapering off through the recovery journey. </w:t>
      </w:r>
    </w:p>
    <w:p w14:paraId="2EC17E17" w14:textId="60303E3C" w:rsidR="00C01C0E" w:rsidRDefault="00C01C0E" w:rsidP="00C01C0E">
      <w:r>
        <w:t xml:space="preserve">Through the interim-evaluation of the Centre, service-users reported that the wrap-around recovery supports available at the Centre enabled choice and an increased sense of safety. The Centre’s integrated, wrap-around approach has greater capacity to respond to more complex needs which may be experienced by diverse communities, due to the harm caused by discriminatory and ill-equipped systems. Trauma-informed recovery services, like the Centre, which work to be flexible and holistic to meet the needs of victim-survivors, can more effectively respond to the needs of diverse communities.  </w:t>
      </w:r>
    </w:p>
    <w:p w14:paraId="6CB59FC8" w14:textId="35D05E89" w:rsidR="00C01C0E" w:rsidRDefault="00C01C0E" w:rsidP="00C01C0E">
      <w:r>
        <w:t xml:space="preserve">The voices and approaches of diverse communities must be centred in service design </w:t>
      </w:r>
    </w:p>
    <w:p w14:paraId="6C2F3D52" w14:textId="15C78656" w:rsidR="00C01C0E" w:rsidRDefault="00C01C0E" w:rsidP="00C01C0E">
      <w:r>
        <w:t xml:space="preserve">During the development of the Centre, a First Nations advisory group was engaged to inform the design of the space. The advisory group provided guidance around service colours, layout, fit out and artwork. This approach has ensured that the Centre’s space is welcoming and increases the cultural safety of the space for Aboriginal and Torres Strait Islander service users.  </w:t>
      </w:r>
    </w:p>
    <w:p w14:paraId="088EE9A4" w14:textId="22795F8B" w:rsidR="00C01C0E" w:rsidRDefault="00C01C0E" w:rsidP="00C01C0E">
      <w:r>
        <w:t xml:space="preserve">Centring First Nations approaches in service design is vital to ensure that the service can be responsive to victim-survivors who identify as Aboriginal and Torres Strait Islander. Co-design of models of care and service design must be carried out in close partnership with the diverse communities that will be supported by the service, to ensure that they are able to meet the needs of communities who are disproportionately affected by gender-based violence. </w:t>
      </w:r>
    </w:p>
    <w:p w14:paraId="13299212" w14:textId="25532A38" w:rsidR="00C01C0E" w:rsidRDefault="00C01C0E" w:rsidP="00C01C0E">
      <w:r>
        <w:t xml:space="preserve">Funding for services that support diverse communities must address the additional load of supporting domestic, family and sexual violence services </w:t>
      </w:r>
    </w:p>
    <w:p w14:paraId="6217A80E" w14:textId="285F0268" w:rsidR="00C01C0E" w:rsidRDefault="00C01C0E" w:rsidP="00C01C0E">
      <w:r>
        <w:t xml:space="preserve">The Centre works to foster and maintain effective partnerships with organisations that provide support to diverse communities. The Centre’s model of care identifies that “partnerships with ACCHOs (Aboriginal Community Controlled Housing Organisations) and other health services, legal services and housing will be critical to comprehensively </w:t>
      </w:r>
      <w:r>
        <w:lastRenderedPageBreak/>
        <w:t xml:space="preserve">addressing needs” (Cullen et al 2021, p.14). Grassroots, community-led services that support diverse communities, such as Aboriginal Community Controlled Organisations, often have limited resources. This creates as a challenge as they work to support people who engage directly in their services, while also building capacity of mainstream organisations to more effectively meet the needs of diverse communities.  </w:t>
      </w:r>
    </w:p>
    <w:p w14:paraId="04A3F6FE" w14:textId="77777777" w:rsidR="00C01C0E" w:rsidRDefault="00C01C0E" w:rsidP="00C01C0E">
      <w:r>
        <w:t>Specialist Aboriginal and Torres Strait Islander, multicultural and LGBTIQA+ services require additional funding to acknowledge their vital expertise, cultural knowledge and contribution to the work of mainstream services. Without this resourcing, there is a risk that partnerships between Aboriginal and Torres Strait Islander, multicultural services or LGBTIQA+ services and domestic, family and sexual violence services will become unequal and ineffective. This investment would benefit the entire service system, as it works to respond safely to diverse communities.</w:t>
      </w:r>
    </w:p>
    <w:p w14:paraId="3F5146A8" w14:textId="7EF9C15C" w:rsidR="00C01C0E" w:rsidRPr="00C01C0E" w:rsidRDefault="00C01C0E" w:rsidP="00C01C0E">
      <w:pPr>
        <w:rPr>
          <w:b/>
          <w:bCs/>
        </w:rPr>
      </w:pPr>
      <w:r w:rsidRPr="00C01C0E">
        <w:rPr>
          <w:b/>
          <w:bCs/>
        </w:rPr>
        <w:t>Feedback for Priority Area 2: Prevention and early intervention</w:t>
      </w:r>
    </w:p>
    <w:p w14:paraId="7F583766" w14:textId="4E7BD398" w:rsidR="00C01C0E" w:rsidRDefault="00C01C0E" w:rsidP="00C01C0E">
      <w:r>
        <w:t xml:space="preserve">Trauma recovery is effective and must be prioritised as a means of prevention </w:t>
      </w:r>
    </w:p>
    <w:p w14:paraId="4BFD7623" w14:textId="7F713AB8" w:rsidR="00C01C0E" w:rsidRDefault="00C01C0E" w:rsidP="00C01C0E">
      <w:r>
        <w:t xml:space="preserve">Services which support victim-survivors to heal from trauma also contribute to prevention of violence. Prevention organisation, Our Watch, notes the importance of reducing the long-term impacts of exposure to violence, as a key action in preventing future violence (2021 p.69). In setting out its business case, the Centre demonstrated the value of trauma recovery in violence prevention (Illawarra Women’s Health Centre 2021, p.15). The Centre notes that recovery from trauma reduces rates of a victim-survivor being subjected to further violence, by providing holistic support to reduce the isolation and vulnerability of victim-survivors. The services delivered by the Centre offer victim-survivors greater financial independence and social connectedness, and an improved sense of emotional and physical wellbeing, which are significant protective factors against re-victimisation.  </w:t>
      </w:r>
    </w:p>
    <w:p w14:paraId="772D572F" w14:textId="35E69024" w:rsidR="00C01C0E" w:rsidRDefault="00C01C0E" w:rsidP="00C01C0E">
      <w:r>
        <w:t xml:space="preserve">A recent client survey shows that the Centre is reducing the vulnerability of the women it supports. So far, approximately 25 percent of current clients of the Centre have responded to the survey. The below responses highlight the Centre’s success in increasing victim-survivor’s protective factors: </w:t>
      </w:r>
    </w:p>
    <w:p w14:paraId="5C15AEBC" w14:textId="6934931C" w:rsidR="00C01C0E" w:rsidRDefault="00C01C0E" w:rsidP="00C01C0E">
      <w:r>
        <w:t xml:space="preserve">74 percent of respondents who had received counselling services reported they had experienced a decrease in trauma symptoms; </w:t>
      </w:r>
    </w:p>
    <w:p w14:paraId="30A0B928" w14:textId="20FC97CE" w:rsidR="00C01C0E" w:rsidRDefault="00C01C0E" w:rsidP="00C01C0E">
      <w:r>
        <w:t xml:space="preserve">84 percent of respondents who had participated in group activities reported an improved sense of wellbeing; </w:t>
      </w:r>
    </w:p>
    <w:p w14:paraId="16C7955B" w14:textId="15586C44" w:rsidR="00C01C0E" w:rsidRDefault="00C01C0E" w:rsidP="00C01C0E">
      <w:r>
        <w:t xml:space="preserve">100 percent of respondents who had received financial counselling reported greater confidence and capacity to manage their finances; </w:t>
      </w:r>
    </w:p>
    <w:p w14:paraId="01B98480" w14:textId="77777777" w:rsidR="00C01C0E" w:rsidRDefault="00C01C0E" w:rsidP="00C01C0E">
      <w:r>
        <w:t xml:space="preserve">77 percent of respondents reported a better understanding of healthy relationships and how to set boundaries and; </w:t>
      </w:r>
    </w:p>
    <w:p w14:paraId="70ACE35B" w14:textId="7C3E298B" w:rsidR="00C01C0E" w:rsidRDefault="00C01C0E" w:rsidP="00C01C0E">
      <w:r>
        <w:lastRenderedPageBreak/>
        <w:t xml:space="preserve">66 percent reported an increased capacity to care for others, including children. </w:t>
      </w:r>
    </w:p>
    <w:p w14:paraId="5D826E28" w14:textId="77CCA637" w:rsidR="00C01C0E" w:rsidRDefault="00C01C0E" w:rsidP="00C01C0E">
      <w:r>
        <w:t xml:space="preserve">It should be noted that the final bullet point is considered a medium-term outcome, and it is expected that reported improvements on this measure will increase over time. </w:t>
      </w:r>
    </w:p>
    <w:p w14:paraId="4CB7C3C4" w14:textId="77777777" w:rsidR="00C01C0E" w:rsidRDefault="00C01C0E" w:rsidP="00C01C0E">
      <w:r>
        <w:t>The Centre’s work with victim-survivor parents also helps to interrupt cycles of intergenerational violence and prevent children from experiencing or perpetrating violence as adults. This will be detailed further under Priority Area 3.</w:t>
      </w:r>
    </w:p>
    <w:p w14:paraId="2159B056" w14:textId="6CB95AD2" w:rsidR="00C01C0E" w:rsidRPr="00C01C0E" w:rsidRDefault="00C01C0E" w:rsidP="00C01C0E">
      <w:pPr>
        <w:rPr>
          <w:b/>
          <w:bCs/>
        </w:rPr>
      </w:pPr>
      <w:r w:rsidRPr="00C01C0E">
        <w:rPr>
          <w:b/>
          <w:bCs/>
        </w:rPr>
        <w:t>Feedback for Priority Area 3: Children and young people in their own right</w:t>
      </w:r>
    </w:p>
    <w:p w14:paraId="0A4ACE84" w14:textId="1DDE2207" w:rsidR="00C01C0E" w:rsidRDefault="00C01C0E" w:rsidP="00C01C0E">
      <w:r>
        <w:t xml:space="preserve">Recovery for parents is protective for children and young people </w:t>
      </w:r>
    </w:p>
    <w:p w14:paraId="4B595F79" w14:textId="6DCC2435" w:rsidR="00C01C0E" w:rsidRDefault="00C01C0E" w:rsidP="00C01C0E">
      <w:r>
        <w:t>Children and young people who are subjected to domestic, family and sexual violence experience harm which can be ongoing and lifelong (Gillfeather-</w:t>
      </w:r>
      <w:proofErr w:type="spellStart"/>
      <w:r>
        <w:t>Spetere</w:t>
      </w:r>
      <w:proofErr w:type="spellEnd"/>
      <w:r>
        <w:t xml:space="preserve"> &amp; Watson, 2024, p.7). Therefore, access to services which support children and young people to heal from their experiences of coercive control and violence is vital to improve outcomes for them. </w:t>
      </w:r>
    </w:p>
    <w:p w14:paraId="5A680231" w14:textId="5E2D0104" w:rsidR="00C01C0E" w:rsidRDefault="00C01C0E" w:rsidP="00C01C0E">
      <w:r>
        <w:t xml:space="preserve">The Centre is protective for the children of victim-survivors. The Centre’s work with victim-survivor parents, supports them restore their relationship with their children that may have been impacted by their experience of violence and reduces the likelihood that children will be exposed to further violence by supporting their protective-parent. Through the provision of holistic support, the Centre also reduces the need for intervention from statutory child protective services and, connects children and young people to specialist services that can support </w:t>
      </w:r>
      <w:proofErr w:type="gramStart"/>
      <w:r>
        <w:t>them in their own right</w:t>
      </w:r>
      <w:proofErr w:type="gramEnd"/>
      <w:r>
        <w:t xml:space="preserve">. These actions are vital in disrupting intergenerational cycles of violence and improving outcomes for children and young people. </w:t>
      </w:r>
    </w:p>
    <w:p w14:paraId="3668A748" w14:textId="7F8CCDBE" w:rsidR="00C01C0E" w:rsidRDefault="00C01C0E" w:rsidP="00C01C0E">
      <w:r>
        <w:t xml:space="preserve">Increase funding for women’s trauma recovery centres to expand services to children and young people </w:t>
      </w:r>
    </w:p>
    <w:p w14:paraId="0904233A" w14:textId="57BDE350" w:rsidR="00C01C0E" w:rsidRDefault="00C01C0E" w:rsidP="00C01C0E">
      <w:r>
        <w:t xml:space="preserve">The Centre works to ensure that whole families can be supported and recognises the necessity of supporting the healing of children and young people as </w:t>
      </w:r>
      <w:proofErr w:type="gramStart"/>
      <w:r>
        <w:t>victim-survivors in their own right</w:t>
      </w:r>
      <w:proofErr w:type="gramEnd"/>
      <w:r>
        <w:t xml:space="preserve">. To effectively respond to children and young people who have experienced and/or who are using violence, child-specific healing services must be available and accessible. An expansion of the Centre to provide direct, specialist support to children and young people would ensure that children and young people’s experiences of violence is recognised, and that their recovery is prioritised.  </w:t>
      </w:r>
    </w:p>
    <w:p w14:paraId="5E3D16E0" w14:textId="2AC6667B" w:rsidR="00C01C0E" w:rsidRDefault="00C01C0E" w:rsidP="00C01C0E">
      <w:r>
        <w:t xml:space="preserve">Currently, there is a critical shortage of specialist support available to children and young people who have experienced violence and abuse. The DFSV Commission’s 2025 Report emphasised the importance of investment that recognises children and young people as </w:t>
      </w:r>
      <w:proofErr w:type="gramStart"/>
      <w:r>
        <w:t>victim-survivors in their own right, noting</w:t>
      </w:r>
      <w:proofErr w:type="gramEnd"/>
      <w:r>
        <w:t xml:space="preserve"> that they are “often overlooked in data, policy and service-systems” (p.90).  </w:t>
      </w:r>
    </w:p>
    <w:p w14:paraId="60C02C60" w14:textId="18563E2C" w:rsidR="00C01C0E" w:rsidRDefault="00C01C0E" w:rsidP="00C01C0E">
      <w:r>
        <w:lastRenderedPageBreak/>
        <w:t xml:space="preserve">Experiences of abuse in childhood is associated with “severe mental health problems and behavioural harms, in both childhood and adulthood” (Haslam et al. 2023, p.22). Current services or programs that do exist often have capped sessions, cater only to children and young people within a specific age group, are expensive, require costly assessments to prove eligibility and/or have long waiting lists. As a signatory to the United Nations Convention on the Rights of the Child, Australia must do better to ensure that children are protected from and supported following experiences of abuse and violence. A system that recognises children and young people as victim-survivors </w:t>
      </w:r>
      <w:proofErr w:type="gramStart"/>
      <w:r>
        <w:t>in their own right must</w:t>
      </w:r>
      <w:proofErr w:type="gramEnd"/>
      <w:r>
        <w:t xml:space="preserve"> invest in specialised child-centred healing and recovery services that are long-term and responsive to children and young people of all ages.  </w:t>
      </w:r>
    </w:p>
    <w:p w14:paraId="2CD46936" w14:textId="77777777" w:rsidR="00C01C0E" w:rsidRDefault="00C01C0E" w:rsidP="00C01C0E">
      <w:r>
        <w:t>The co-design of the Centre with women with lived-expertise has enabled the service to meet the needs of and be accessible to victim-survivors. This approach must be replicated in services that support children and young people. Healing and recovery services that support children and young people must be co-designed with children and young people to ensure that the supports will reflect the needs of young victim-survivors.</w:t>
      </w:r>
    </w:p>
    <w:p w14:paraId="6444EC4B" w14:textId="77CEF362" w:rsidR="00C01C0E" w:rsidRPr="00C01C0E" w:rsidRDefault="00C01C0E" w:rsidP="00C01C0E">
      <w:pPr>
        <w:rPr>
          <w:b/>
          <w:bCs/>
        </w:rPr>
      </w:pPr>
      <w:r w:rsidRPr="00C01C0E">
        <w:rPr>
          <w:b/>
          <w:bCs/>
        </w:rPr>
        <w:t>Feedback for Priority Area 5: System Integration and Workforce</w:t>
      </w:r>
    </w:p>
    <w:p w14:paraId="2AFA4EA7" w14:textId="595BFD65" w:rsidR="00C01C0E" w:rsidRDefault="00C01C0E" w:rsidP="00C01C0E">
      <w:r>
        <w:t xml:space="preserve">Support induction processes and ensure sector-wide access to training in current, best practice approaches </w:t>
      </w:r>
    </w:p>
    <w:p w14:paraId="51DB7AEF" w14:textId="39150334" w:rsidR="00C01C0E" w:rsidRDefault="00C01C0E" w:rsidP="00C01C0E">
      <w:r>
        <w:t xml:space="preserve">Currently in NSW, the domestic, family and sexual violence workforce does not have a consistent approach to training and induction. While flexibility is important within services, support in ensuring that all domestic, family and sexual violence professionals have access to key information and core training would be useful. This is particularly true for small, community-based services, such as the Centre, who have limited resourcing to induct and train staff.  </w:t>
      </w:r>
    </w:p>
    <w:p w14:paraId="0B3B0300" w14:textId="7628B0DD" w:rsidR="00C01C0E" w:rsidRDefault="00C01C0E" w:rsidP="00C01C0E">
      <w:r>
        <w:t xml:space="preserve">Given that the current domestic, family and sexual violence workforce is primarily employed in crisis response work, there are fewer practitioners who are skilled in delivering recovery and healing programs. As a recovery focused service, additional resources and training would be beneficial to ensure that staff experienced in response work can be adequately trained to deliver recovery services. </w:t>
      </w:r>
    </w:p>
    <w:p w14:paraId="71EECB13" w14:textId="77777777" w:rsidR="00C01C0E" w:rsidRDefault="00C01C0E" w:rsidP="00C01C0E">
      <w:r>
        <w:t xml:space="preserve">Staff at the Centre complete </w:t>
      </w:r>
      <w:proofErr w:type="gramStart"/>
      <w:r>
        <w:t>a number of</w:t>
      </w:r>
      <w:proofErr w:type="gramEnd"/>
      <w:r>
        <w:t xml:space="preserve"> core trainings to ensure staff are equipped to carry out their work and that they are up to date with current, best practice. One example of core training completed at the Centre is in the Safe and Together™ model. While Safe and Together™ is a widely acknowledged model, completion of this training came at a major cost to the Centre. Training which reflects current, best practice should be funded across the specialist domestic, family and sexual violence workforce to ensure victim-survivors across Australia are receiving equitable and consistent levels of care. </w:t>
      </w:r>
    </w:p>
    <w:p w14:paraId="52FCC16C" w14:textId="1215F95C" w:rsidR="00C01C0E" w:rsidRDefault="00C01C0E" w:rsidP="00C01C0E">
      <w:r>
        <w:lastRenderedPageBreak/>
        <w:t xml:space="preserve">The workforce should reflect the community it supports. There must be structures in place to recruit and retain a diverse workforce </w:t>
      </w:r>
    </w:p>
    <w:p w14:paraId="051F015F" w14:textId="700C07A0" w:rsidR="00C01C0E" w:rsidRDefault="00C01C0E" w:rsidP="00C01C0E">
      <w:r>
        <w:t xml:space="preserve">To respond safely to victim-survivors from communities that are disproportionately affected by domestic, family and sexual violence, the workforce must be diverse. At the Centre, identified positions exist to support the service to respond to victim-survivors from Aboriginal and Torres Strait Islander communities, and migrant and refugee communities. Recruiting for identified roles can be challenging, though the Centre has had success through has engaging specialist recruitment agencies.  </w:t>
      </w:r>
    </w:p>
    <w:p w14:paraId="1D398430" w14:textId="188D70BA" w:rsidR="00C01C0E" w:rsidRDefault="00C01C0E" w:rsidP="00C01C0E">
      <w:r>
        <w:t xml:space="preserve">Similarly, to retain diverse staff who have specialist cultural knowledge and/or </w:t>
      </w:r>
      <w:proofErr w:type="gramStart"/>
      <w:r>
        <w:t>lived-expertise</w:t>
      </w:r>
      <w:proofErr w:type="gramEnd"/>
      <w:r>
        <w:t xml:space="preserve">, there must be specific internal structures in place to support them, such as cultural supervision and/or cultural remuneration packages which recognise the additional load on staff in identified positions. The Centre has implemented structures to ensure staff, including those with cultural knowledge and/or lived experience are supported through professional supervision, cultural supervision, yarning circles and additional wellbeing leave for staff. Funding to ensure these practices are carried out, should be included within funding grants. </w:t>
      </w:r>
    </w:p>
    <w:p w14:paraId="492662F5" w14:textId="052A3CC2" w:rsidR="00C01C0E" w:rsidRDefault="00C01C0E" w:rsidP="00C01C0E">
      <w:r>
        <w:t xml:space="preserve">The domestic, family and sexual violence workforce must be equipped to provide specialist support directly to children and young people </w:t>
      </w:r>
    </w:p>
    <w:p w14:paraId="3A423B32" w14:textId="40697FE5" w:rsidR="00C01C0E" w:rsidRDefault="00C01C0E" w:rsidP="00C01C0E">
      <w:r>
        <w:t xml:space="preserve">As the sector works to respond to children and young people as </w:t>
      </w:r>
      <w:proofErr w:type="gramStart"/>
      <w:r>
        <w:t>victim-survivors in their own right, an</w:t>
      </w:r>
      <w:proofErr w:type="gramEnd"/>
      <w:r>
        <w:t xml:space="preserve"> increase in training in providing direct support to children and young people must be available and affordable for professionals. Training regarding direct practice with children and young people must be geared toward supporting their healing and recovery, to ensure improved outcomes for young victim-survivors.  </w:t>
      </w:r>
    </w:p>
    <w:p w14:paraId="1C3BE3A1" w14:textId="2A5C4E7B" w:rsidR="00C01C0E" w:rsidRDefault="00C01C0E" w:rsidP="00C01C0E">
      <w:r>
        <w:t xml:space="preserve">Integrated models of care are more collaborative and trauma-informed </w:t>
      </w:r>
    </w:p>
    <w:p w14:paraId="2DD6F386" w14:textId="323B99CE" w:rsidR="00C01C0E" w:rsidRDefault="00C01C0E" w:rsidP="00C01C0E">
      <w:r>
        <w:t xml:space="preserve">The integrated model of the Centre ensures that victim-survivors can more easily access a range of services that enable recovery. Integrated models of care reduce the risk of retraumatising victim-survivors as they seek support (Salter et al. 2020, 27). The Centre carries out a singular, holistic assessment with victim-survivors, and facilitates the necessary services, reducing the systems abuse that occurs when women are required to re-tell their story.  </w:t>
      </w:r>
    </w:p>
    <w:p w14:paraId="543E1082" w14:textId="33883480" w:rsidR="00C01C0E" w:rsidRDefault="00C01C0E" w:rsidP="00C01C0E">
      <w:r>
        <w:t xml:space="preserve">The interim evaluation of the Centre offers evidence in support of the integrated model. The evaluation noted that service users access an average of 3 therapeutic supports. This shows the way that women are readily accessing and benefiting from the wrap-around, holistic model. The ease of accessibility of services means that victim-survivors are more likely to engage in multiple programs, increasing their means of recovery. </w:t>
      </w:r>
    </w:p>
    <w:p w14:paraId="284496DE" w14:textId="0B52E2FA" w:rsidR="00C01C0E" w:rsidRDefault="00C01C0E" w:rsidP="00C01C0E">
      <w:r>
        <w:t xml:space="preserve">The co-design of the Centre showed that integrated models of care are preferred by victim-survivors. Throughout the interim evaluation of the Centre, staff also emphasised </w:t>
      </w:r>
      <w:r>
        <w:lastRenderedPageBreak/>
        <w:t xml:space="preserve">that the integration of casework and counselling into the one service was a strength, allowing them to more effectively support victim-survivors. Integrated services reduce vicarious trauma and burnout for staff, as there is less need for them to advocate for the needs of victim-survivors with other agencies, and navigate waitlists and lengthy referral processes to provide effective support. The preference of integrated models of care from both service-users and staff and the early positive outcome data is a strong indication that this approach should be widely implemented to meet both victim-survivor and workforce need. </w:t>
      </w:r>
    </w:p>
    <w:p w14:paraId="7BE6D05B" w14:textId="05DA4772" w:rsidR="00C01C0E" w:rsidRDefault="00C01C0E" w:rsidP="00C01C0E">
      <w:r>
        <w:t>Integrated models of care are also more cost effective and efficient, as they reduce duplication of support and processes (Illawarra Women’s Health Centre 2021, p.17). The singular, holistic assessment carried out by the Centre is used across service streams, meaning that there is no need for repeat intake processes. Similarly, each service offered by the Centre has a specific approach and aim, meaning that victim-survivors are not engaging in the same supports more than once, which is often the case when victim-survivors are accessing support from multiple agencies. This means support can be more streamlined, and therefore more cost effective.</w:t>
      </w:r>
    </w:p>
    <w:p w14:paraId="499C8D9E" w14:textId="21F3A3DA" w:rsidR="00C01C0E" w:rsidRDefault="00C01C0E" w:rsidP="00C01C0E">
      <w:r>
        <w:t xml:space="preserve">Trauma recovery services must be prioritised </w:t>
      </w:r>
    </w:p>
    <w:p w14:paraId="7859FF75" w14:textId="1AE1A7F5" w:rsidR="00C01C0E" w:rsidRDefault="00C01C0E" w:rsidP="00C01C0E">
      <w:r>
        <w:t xml:space="preserve">The Centre was established following community action, which worked to address a widely recognised gap in the region’s response to victim-survivors of violence. The interim evaluation shows that the Centre is addressing this significant unmet need for women who have experienced violence. As demand for the service continues to grow, it is vital that the Second Action Plan prioritise permanent funding for the Centre, and use the evidence gained over the past 2 years of the Centre’s operation to expand this model nationally. </w:t>
      </w:r>
    </w:p>
    <w:p w14:paraId="19395C5E" w14:textId="2AEED806" w:rsidR="00C01C0E" w:rsidRPr="00C01C0E" w:rsidRDefault="00C01C0E" w:rsidP="00C01C0E">
      <w:r>
        <w:t>Healing and recovery services provide significant value to victim-survivors and reduce the long-term burden on health, justice and child protection systems (Illawarra Women’s Health Centre 2021, p.11). Despite this, funding for healing and recovery focused services continues to be omitted. Inclusion of this submission’s Recommendations 1 and 2 in the Second Action Plan would ensure that the system is more effectively able to respond to the needs of victim-survivors, greatly improving outcomes for victim-survivors over time.</w:t>
      </w:r>
    </w:p>
    <w:sectPr w:rsidR="00C01C0E" w:rsidRPr="00C01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0E"/>
    <w:rsid w:val="00022A23"/>
    <w:rsid w:val="0023679E"/>
    <w:rsid w:val="00A21C79"/>
    <w:rsid w:val="00C01C0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A48E"/>
  <w15:chartTrackingRefBased/>
  <w15:docId w15:val="{8217BA59-DCCD-42A9-A054-3C9F1F32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C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C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C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C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C0E"/>
    <w:rPr>
      <w:rFonts w:eastAsiaTheme="majorEastAsia" w:cstheme="majorBidi"/>
      <w:color w:val="272727" w:themeColor="text1" w:themeTint="D8"/>
    </w:rPr>
  </w:style>
  <w:style w:type="paragraph" w:styleId="Title">
    <w:name w:val="Title"/>
    <w:basedOn w:val="Normal"/>
    <w:next w:val="Normal"/>
    <w:link w:val="TitleChar"/>
    <w:uiPriority w:val="10"/>
    <w:qFormat/>
    <w:rsid w:val="00C01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C0E"/>
    <w:pPr>
      <w:spacing w:before="160"/>
      <w:jc w:val="center"/>
    </w:pPr>
    <w:rPr>
      <w:i/>
      <w:iCs/>
      <w:color w:val="404040" w:themeColor="text1" w:themeTint="BF"/>
    </w:rPr>
  </w:style>
  <w:style w:type="character" w:customStyle="1" w:styleId="QuoteChar">
    <w:name w:val="Quote Char"/>
    <w:basedOn w:val="DefaultParagraphFont"/>
    <w:link w:val="Quote"/>
    <w:uiPriority w:val="29"/>
    <w:rsid w:val="00C01C0E"/>
    <w:rPr>
      <w:i/>
      <w:iCs/>
      <w:color w:val="404040" w:themeColor="text1" w:themeTint="BF"/>
    </w:rPr>
  </w:style>
  <w:style w:type="paragraph" w:styleId="ListParagraph">
    <w:name w:val="List Paragraph"/>
    <w:basedOn w:val="Normal"/>
    <w:uiPriority w:val="34"/>
    <w:qFormat/>
    <w:rsid w:val="00C01C0E"/>
    <w:pPr>
      <w:ind w:left="720"/>
      <w:contextualSpacing/>
    </w:pPr>
  </w:style>
  <w:style w:type="character" w:styleId="IntenseEmphasis">
    <w:name w:val="Intense Emphasis"/>
    <w:basedOn w:val="DefaultParagraphFont"/>
    <w:uiPriority w:val="21"/>
    <w:qFormat/>
    <w:rsid w:val="00C01C0E"/>
    <w:rPr>
      <w:i/>
      <w:iCs/>
      <w:color w:val="0F4761" w:themeColor="accent1" w:themeShade="BF"/>
    </w:rPr>
  </w:style>
  <w:style w:type="paragraph" w:styleId="IntenseQuote">
    <w:name w:val="Intense Quote"/>
    <w:basedOn w:val="Normal"/>
    <w:next w:val="Normal"/>
    <w:link w:val="IntenseQuoteChar"/>
    <w:uiPriority w:val="30"/>
    <w:qFormat/>
    <w:rsid w:val="00C01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C0E"/>
    <w:rPr>
      <w:i/>
      <w:iCs/>
      <w:color w:val="0F4761" w:themeColor="accent1" w:themeShade="BF"/>
    </w:rPr>
  </w:style>
  <w:style w:type="character" w:styleId="IntenseReference">
    <w:name w:val="Intense Reference"/>
    <w:basedOn w:val="DefaultParagraphFont"/>
    <w:uiPriority w:val="32"/>
    <w:qFormat/>
    <w:rsid w:val="00C01C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AC4E5A-8E8F-48F8-9029-B0697A6BDC31}"/>
</file>

<file path=customXml/itemProps2.xml><?xml version="1.0" encoding="utf-8"?>
<ds:datastoreItem xmlns:ds="http://schemas.openxmlformats.org/officeDocument/2006/customXml" ds:itemID="{B0678DAA-D7D7-48CE-AB50-4150B6E680EF}"/>
</file>

<file path=customXml/itemProps3.xml><?xml version="1.0" encoding="utf-8"?>
<ds:datastoreItem xmlns:ds="http://schemas.openxmlformats.org/officeDocument/2006/customXml" ds:itemID="{4B84D785-E1BD-4A49-8526-D70EC12C9918}"/>
</file>

<file path=docProps/app.xml><?xml version="1.0" encoding="utf-8"?>
<Properties xmlns="http://schemas.openxmlformats.org/officeDocument/2006/extended-properties" xmlns:vt="http://schemas.openxmlformats.org/officeDocument/2006/docPropsVTypes">
  <Template>Normal.dotm</Template>
  <TotalTime>2</TotalTime>
  <Pages>7</Pages>
  <Words>2915</Words>
  <Characters>16619</Characters>
  <Application>Microsoft Office Word</Application>
  <DocSecurity>0</DocSecurity>
  <Lines>138</Lines>
  <Paragraphs>38</Paragraphs>
  <ScaleCrop>false</ScaleCrop>
  <Company/>
  <LinksUpToDate>false</LinksUpToDate>
  <CharactersWithSpaces>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2026-09-07T01:20:00Z</dcterms:created>
  <dcterms:modified xsi:type="dcterms:W3CDTF">2026-09-07T01:22:00Z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