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76D0D" w14:textId="30C3A992" w:rsidR="0023679E" w:rsidRDefault="00E63FD2">
      <w:pPr>
        <w:rPr>
          <w:b/>
          <w:bCs/>
        </w:rPr>
      </w:pPr>
      <w:r w:rsidRPr="00E63FD2">
        <w:rPr>
          <w:b/>
          <w:bCs/>
        </w:rPr>
        <w:t>Impact Advocacy Consulting</w:t>
      </w:r>
    </w:p>
    <w:p w14:paraId="7131BEE7" w14:textId="07E32B1F" w:rsidR="00E63FD2" w:rsidRPr="00E63FD2" w:rsidRDefault="00E63FD2">
      <w:pPr>
        <w:rPr>
          <w:b/>
          <w:bCs/>
        </w:rPr>
      </w:pPr>
      <w:r w:rsidRPr="00E63FD2">
        <w:rPr>
          <w:b/>
          <w:bCs/>
        </w:rPr>
        <w:t>Feedback for Priority Area 1: Victim-survivors</w:t>
      </w:r>
    </w:p>
    <w:p w14:paraId="32DF5CC1" w14:textId="0381BE3B" w:rsidR="00E63FD2" w:rsidRDefault="00E63FD2" w:rsidP="00E63FD2">
      <w:r>
        <w:t>The most effective responses for victim-survivors are those that are trauma-informed, culturally safe, accessible and coordinated across systems. Many victim-survivors, particularly women from multicultural communities, continue to face significant barriers including language barriers, visa dependency, financial abuse, social isolation, limited access to interpreting services and a lack of culturally responsive support pathways.</w:t>
      </w:r>
    </w:p>
    <w:p w14:paraId="25E4D1F9" w14:textId="236B7D48" w:rsidR="00E63FD2" w:rsidRDefault="00E63FD2" w:rsidP="00E63FD2">
      <w:r>
        <w:t>The Second Action Plan should strengthen early intervention through multilingual education, culturally responsive services, bicultural workforces and community-based referral pathways that support earlier help-seeking and engagement. Greater recognition is also needed of migration-related abuse, coercive control and systems abuse, including the misuse of legal and administrative processes as tools of ongoing control after separation.</w:t>
      </w:r>
    </w:p>
    <w:p w14:paraId="2358291E" w14:textId="77777777" w:rsidR="00E63FD2" w:rsidRDefault="00E63FD2" w:rsidP="00E63FD2">
      <w:r>
        <w:t>Technology-facilitated abuse continues to evolve and should remain a priority area, alongside stronger protections for victim-survivors and children during post-separation processes. Meaningful lived experience leadership, particularly from multicultural communities, should be embedded across policy development, service design and systems reform to ensure responses are informed by those most affected.</w:t>
      </w:r>
    </w:p>
    <w:p w14:paraId="6D93B4E7" w14:textId="4BA06292" w:rsidR="00E63FD2" w:rsidRPr="00E63FD2" w:rsidRDefault="00E63FD2" w:rsidP="00E63FD2">
      <w:pPr>
        <w:rPr>
          <w:b/>
          <w:bCs/>
        </w:rPr>
      </w:pPr>
      <w:r w:rsidRPr="00E63FD2">
        <w:rPr>
          <w:b/>
          <w:bCs/>
        </w:rPr>
        <w:t>Feedback for Priority Area 2: Prevention and early intervention</w:t>
      </w:r>
    </w:p>
    <w:p w14:paraId="0B3ADF07" w14:textId="62F24FA2" w:rsidR="00E63FD2" w:rsidRDefault="00E63FD2" w:rsidP="00E63FD2">
      <w:r>
        <w:t>The most effective prevention strategies are those embedded within the places where people live, work, learn, worship and connect. Prevention efforts should move beyond awareness campaigns alone and focus on practical community education, culturally responsive coercive control education, active bystander capability, safe referral pathways and long-term behaviour and culture change.</w:t>
      </w:r>
    </w:p>
    <w:p w14:paraId="23C158F9" w14:textId="04E5D678" w:rsidR="00E63FD2" w:rsidRDefault="00E63FD2" w:rsidP="00E63FD2">
      <w:r>
        <w:t>Governments should continue investing in community-led prevention initiatives and strengthen partnerships with schools, workplaces, sporting clubs, faith communities and multicultural organisations. These settings provide valuable opportunities to challenge harmful attitudes, promote respectful relationships and support people to recognise and safely respond to violence and abuse.</w:t>
      </w:r>
    </w:p>
    <w:p w14:paraId="62294AC5" w14:textId="00615A31" w:rsidR="00E63FD2" w:rsidRDefault="00E63FD2" w:rsidP="00E63FD2">
      <w:proofErr w:type="gramStart"/>
      <w:r>
        <w:t>Particular attention</w:t>
      </w:r>
      <w:proofErr w:type="gramEnd"/>
      <w:r>
        <w:t xml:space="preserve"> should be given to multicultural communities, where language barriers, migration-related vulnerabilities and limited access to culturally responsive information can reduce the effectiveness of mainstream prevention approaches. Greater investment is needed in multilingual education, culturally responsive prevention initiatives and bicultural workforces.</w:t>
      </w:r>
    </w:p>
    <w:p w14:paraId="6808B553" w14:textId="77777777" w:rsidR="00E63FD2" w:rsidRDefault="00E63FD2" w:rsidP="00E63FD2">
      <w:r>
        <w:t xml:space="preserve">Prevention should seek to educate, advocate and activate individuals and communities to recognise harm, challenge harmful norms and take safe and meaningful action. </w:t>
      </w:r>
      <w:r>
        <w:lastRenderedPageBreak/>
        <w:t>Expanding active bystander programs, early intervention initiatives and community capability-building approaches offers significant potential to strengthen violence prevention outcomes across Australia.</w:t>
      </w:r>
    </w:p>
    <w:p w14:paraId="611345DE" w14:textId="228988B9" w:rsidR="00E63FD2" w:rsidRPr="00E63FD2" w:rsidRDefault="00E63FD2" w:rsidP="00E63FD2">
      <w:pPr>
        <w:rPr>
          <w:b/>
          <w:bCs/>
        </w:rPr>
      </w:pPr>
      <w:r w:rsidRPr="00E63FD2">
        <w:rPr>
          <w:b/>
          <w:bCs/>
        </w:rPr>
        <w:t>Feedback for Priority Area 3: Children and young people in their own right</w:t>
      </w:r>
    </w:p>
    <w:p w14:paraId="09F829D1" w14:textId="114EF2CF" w:rsidR="00E63FD2" w:rsidRDefault="00E63FD2" w:rsidP="00E63FD2">
      <w:r>
        <w:t xml:space="preserve">Children and young people must be recognised as </w:t>
      </w:r>
      <w:proofErr w:type="gramStart"/>
      <w:r>
        <w:t>victim-survivors in their own right, not</w:t>
      </w:r>
      <w:proofErr w:type="gramEnd"/>
      <w:r>
        <w:t xml:space="preserve"> simply as witnesses to violence. Improving outcomes requires greater investment in child-centred, trauma-informed and developmentally appropriate responses that recognise the long-term impact domestic and family violence can have on safety, wellbeing, identity, education, relationships and future life outcomes.</w:t>
      </w:r>
    </w:p>
    <w:p w14:paraId="23264C67" w14:textId="1CC59B42" w:rsidR="00E63FD2" w:rsidRDefault="00E63FD2" w:rsidP="00E63FD2">
      <w:r>
        <w:t>Governments, services, schools and communities should strengthen their capacity to recognise and respond to the impacts of coercive control, systems abuse and post-separation abuse on children. Children should be supported to maintain safe, stable and meaningful relationships, access appropriate therapeutic support, and participate in decisions that affect their lives where appropriate.</w:t>
      </w:r>
    </w:p>
    <w:p w14:paraId="38C8B903" w14:textId="63E20552" w:rsidR="00E63FD2" w:rsidRDefault="00E63FD2" w:rsidP="00E63FD2">
      <w:r>
        <w:t>The Second Action Plan should also respond to emerging forms of harm affecting children and young people, including technology-facilitated abuse, harmful online content, image-based abuse and violence within peer and dating relationships. Early education on respectful relationships, consent, healthy communication and online safety should be strengthened across schools and community settings.</w:t>
      </w:r>
    </w:p>
    <w:p w14:paraId="446D95BD" w14:textId="77777777" w:rsidR="00E63FD2" w:rsidRDefault="00E63FD2" w:rsidP="00E63FD2">
      <w:r>
        <w:t>Importantly, children and young people should be meaningfully involved in shaping the policies, programs and services that affect them. Their voices, experiences and perspectives provide critical insight into what supports safety, healing and recovery.</w:t>
      </w:r>
    </w:p>
    <w:p w14:paraId="6371049B" w14:textId="53F1A8A3" w:rsidR="00E63FD2" w:rsidRPr="00E63FD2" w:rsidRDefault="00E63FD2" w:rsidP="00E63FD2">
      <w:pPr>
        <w:rPr>
          <w:b/>
          <w:bCs/>
        </w:rPr>
      </w:pPr>
      <w:r w:rsidRPr="00E63FD2">
        <w:rPr>
          <w:b/>
          <w:bCs/>
        </w:rPr>
        <w:t>Feedback for Priority Area 4: People who use violence</w:t>
      </w:r>
    </w:p>
    <w:p w14:paraId="36DFC919" w14:textId="78DF6288" w:rsidR="00E63FD2" w:rsidRDefault="00E63FD2" w:rsidP="00E63FD2">
      <w:r>
        <w:t>Preventing and responding earlier to the use of violence requires greater community understanding of coercive control, healthy relationships, accountability and the early warning signs of abusive behaviour. Prevention efforts should focus not only on responding to violence once it occurs, but also on identifying and addressing harmful attitudes, beliefs and behaviours before they escalate.</w:t>
      </w:r>
    </w:p>
    <w:p w14:paraId="28F88E65" w14:textId="2CD3FC22" w:rsidR="00E63FD2" w:rsidRDefault="00E63FD2" w:rsidP="00E63FD2">
      <w:r>
        <w:t>Services, workplaces, schools, sporting clubs, faith communities and broader community settings all have an important role in recognising concerning behaviours and creating pathways for early intervention. Active bystander approaches, respectful relationships education and community capability-building initiatives can help individuals and communities respond safely and appropriately when concerns arise.</w:t>
      </w:r>
    </w:p>
    <w:p w14:paraId="35616EBD" w14:textId="5B7C8096" w:rsidR="00E63FD2" w:rsidRDefault="00E63FD2" w:rsidP="00E63FD2">
      <w:r>
        <w:t xml:space="preserve">Responses for people who use violence must prioritise victim-survivor safety while promoting genuine accountability and behaviour change. Effective interventions should address patterns of coercive control, challenge entitlement and harmful attitudes, and </w:t>
      </w:r>
      <w:r>
        <w:lastRenderedPageBreak/>
        <w:t>support long-term behavioural change rather than focusing solely on incident-based responses.</w:t>
      </w:r>
    </w:p>
    <w:p w14:paraId="00B10A66" w14:textId="525DEB55" w:rsidR="00E63FD2" w:rsidRDefault="00E63FD2" w:rsidP="00E63FD2">
      <w:r>
        <w:t xml:space="preserve">Greater accountability is also needed for individuals who continue to use legal, administrative and institutional processes as tools of ongoing coercive control after separation. Systems should not become vehicles for continued abuse. Consideration should be given to stronger mechanisms to identify and respond to repeated systems abuse, including appropriate consequences for those who repeatedly </w:t>
      </w:r>
      <w:proofErr w:type="spellStart"/>
      <w:r>
        <w:t>weaponise</w:t>
      </w:r>
      <w:proofErr w:type="spellEnd"/>
      <w:r>
        <w:t xml:space="preserve"> legal and institutional processes to intimidate, control or financially exhaust victim-survivors. These measures should ensure that the safety, wellbeing and recovery of women and children remain central.</w:t>
      </w:r>
    </w:p>
    <w:p w14:paraId="3F902FF9" w14:textId="77777777" w:rsidR="00E63FD2" w:rsidRDefault="00E63FD2" w:rsidP="00E63FD2">
      <w:r>
        <w:t>The Second Action Plan should also strengthen culturally safe, accessible and evidence-informed responses for multicultural communities. This includes recognising the influence of cultural, migration and settlement experiences, improving workforce capability, and ensuring interventions are responsive to the diverse needs of individuals, families and communities.</w:t>
      </w:r>
    </w:p>
    <w:p w14:paraId="5B7532C5" w14:textId="5B53A2CC" w:rsidR="00E63FD2" w:rsidRPr="00E63FD2" w:rsidRDefault="00E63FD2" w:rsidP="00E63FD2">
      <w:pPr>
        <w:rPr>
          <w:b/>
          <w:bCs/>
        </w:rPr>
      </w:pPr>
      <w:r w:rsidRPr="00E63FD2">
        <w:rPr>
          <w:b/>
          <w:bCs/>
        </w:rPr>
        <w:t>Feedback for Priority Area 5: System Integration and Workforce</w:t>
      </w:r>
    </w:p>
    <w:p w14:paraId="506A20D7" w14:textId="32995BC1" w:rsidR="00E63FD2" w:rsidRDefault="00E63FD2" w:rsidP="00E63FD2">
      <w:r>
        <w:t>Creating a more coordinated and connected system response requires stronger collaboration, information sharing and accountability across legal, health, education, child protection, community and domestic and family violence services. Victim-survivors should not be required to repeatedly navigate complex systems, retell their experiences or manage fragmented responses while seeking safety and support.</w:t>
      </w:r>
    </w:p>
    <w:p w14:paraId="06810448" w14:textId="4061C751" w:rsidR="00E63FD2" w:rsidRDefault="00E63FD2" w:rsidP="00E63FD2">
      <w:r>
        <w:t>Workforce capability remains critical to strengthening prevention, early intervention, response and recovery efforts. Greater investment is needed in coercive control education, trauma-informed practice, cultural safety, migration-related abuse, systems abuse and technology-facilitated abuse. Building workforce confidence and capability across both specialist and universal services is essential to improving outcomes for women and children.</w:t>
      </w:r>
    </w:p>
    <w:p w14:paraId="45003698" w14:textId="02283DDB" w:rsidR="00E63FD2" w:rsidRDefault="00E63FD2" w:rsidP="00E63FD2">
      <w:proofErr w:type="gramStart"/>
      <w:r>
        <w:t>Particular attention</w:t>
      </w:r>
      <w:proofErr w:type="gramEnd"/>
      <w:r>
        <w:t xml:space="preserve"> should be given to increasing the recruitment, retention and leadership of bicultural, multilingual and culturally diverse professionals across the domestic and family violence sector and related service systems. A culturally diverse workforce is essential to delivering responses that are not only trauma-informed, but also culturally safe, culturally responsive and reflective of the lived realities of multicultural communities.</w:t>
      </w:r>
    </w:p>
    <w:p w14:paraId="60E628FF" w14:textId="5CD99C5A" w:rsidR="00E63FD2" w:rsidRDefault="00E63FD2" w:rsidP="00E63FD2">
      <w:r>
        <w:t xml:space="preserve">Specialist and universal services also require improved access to interpreters, culturally responsive referral pathways, community partnerships and practical resources that support inclusive and accessible service delivery. Stronger collaboration with </w:t>
      </w:r>
      <w:r>
        <w:lastRenderedPageBreak/>
        <w:t>multicultural organisations, community leaders and lived experience representatives can further strengthen trust, accessibility and engagement.</w:t>
      </w:r>
    </w:p>
    <w:p w14:paraId="42DB7465" w14:textId="77777777" w:rsidR="00E63FD2" w:rsidRDefault="00E63FD2" w:rsidP="00E63FD2">
      <w:r>
        <w:t>The Second Action Plan should also prioritise meaningful lived experience leadership across policy development, service design, workforce development and systems reform. Women with lived experience, particularly multicultural women, hold critical expertise that can help improve service responses, identify system gaps and strengthen accountability across the broader domestic and family violence system.</w:t>
      </w:r>
    </w:p>
    <w:p w14:paraId="2CEA78F5" w14:textId="60FA1B21" w:rsidR="00E63FD2" w:rsidRPr="00E63FD2" w:rsidRDefault="00E63FD2" w:rsidP="00E63FD2">
      <w:pPr>
        <w:rPr>
          <w:b/>
          <w:bCs/>
        </w:rPr>
      </w:pPr>
      <w:r w:rsidRPr="00E63FD2">
        <w:rPr>
          <w:b/>
          <w:bCs/>
        </w:rPr>
        <w:t>Are there any other actions you think should be a priority to stop family, domestic and sexual violence?</w:t>
      </w:r>
    </w:p>
    <w:p w14:paraId="6468D626" w14:textId="3A2F0D92" w:rsidR="00E63FD2" w:rsidRPr="00E63FD2" w:rsidRDefault="00E63FD2" w:rsidP="00E63FD2">
      <w:r>
        <w:t>Australia should consider the establishment of a National Multicultural Domestic and Family Violence Strategy to ensure multicultural communities are consistently recognised across prevention, early intervention, service delivery, workforce development, lived experience engagement and systems reform.</w:t>
      </w:r>
    </w:p>
    <w:sectPr w:rsidR="00E63FD2" w:rsidRPr="00E63FD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FD2"/>
    <w:rsid w:val="00022A23"/>
    <w:rsid w:val="0023679E"/>
    <w:rsid w:val="00B07EB8"/>
    <w:rsid w:val="00D807DD"/>
    <w:rsid w:val="00E63FD2"/>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87904"/>
  <w15:chartTrackingRefBased/>
  <w15:docId w15:val="{871EB142-39DE-47B3-8A92-B3031CEAB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3F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3F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3F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3F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3F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3F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3F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3F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3F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3F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3F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3F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3F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3F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3F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3F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3F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3FD2"/>
    <w:rPr>
      <w:rFonts w:eastAsiaTheme="majorEastAsia" w:cstheme="majorBidi"/>
      <w:color w:val="272727" w:themeColor="text1" w:themeTint="D8"/>
    </w:rPr>
  </w:style>
  <w:style w:type="paragraph" w:styleId="Title">
    <w:name w:val="Title"/>
    <w:basedOn w:val="Normal"/>
    <w:next w:val="Normal"/>
    <w:link w:val="TitleChar"/>
    <w:uiPriority w:val="10"/>
    <w:qFormat/>
    <w:rsid w:val="00E63F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3F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3F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3F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3FD2"/>
    <w:pPr>
      <w:spacing w:before="160"/>
      <w:jc w:val="center"/>
    </w:pPr>
    <w:rPr>
      <w:i/>
      <w:iCs/>
      <w:color w:val="404040" w:themeColor="text1" w:themeTint="BF"/>
    </w:rPr>
  </w:style>
  <w:style w:type="character" w:customStyle="1" w:styleId="QuoteChar">
    <w:name w:val="Quote Char"/>
    <w:basedOn w:val="DefaultParagraphFont"/>
    <w:link w:val="Quote"/>
    <w:uiPriority w:val="29"/>
    <w:rsid w:val="00E63FD2"/>
    <w:rPr>
      <w:i/>
      <w:iCs/>
      <w:color w:val="404040" w:themeColor="text1" w:themeTint="BF"/>
    </w:rPr>
  </w:style>
  <w:style w:type="paragraph" w:styleId="ListParagraph">
    <w:name w:val="List Paragraph"/>
    <w:basedOn w:val="Normal"/>
    <w:uiPriority w:val="34"/>
    <w:qFormat/>
    <w:rsid w:val="00E63FD2"/>
    <w:pPr>
      <w:ind w:left="720"/>
      <w:contextualSpacing/>
    </w:pPr>
  </w:style>
  <w:style w:type="character" w:styleId="IntenseEmphasis">
    <w:name w:val="Intense Emphasis"/>
    <w:basedOn w:val="DefaultParagraphFont"/>
    <w:uiPriority w:val="21"/>
    <w:qFormat/>
    <w:rsid w:val="00E63FD2"/>
    <w:rPr>
      <w:i/>
      <w:iCs/>
      <w:color w:val="0F4761" w:themeColor="accent1" w:themeShade="BF"/>
    </w:rPr>
  </w:style>
  <w:style w:type="paragraph" w:styleId="IntenseQuote">
    <w:name w:val="Intense Quote"/>
    <w:basedOn w:val="Normal"/>
    <w:next w:val="Normal"/>
    <w:link w:val="IntenseQuoteChar"/>
    <w:uiPriority w:val="30"/>
    <w:qFormat/>
    <w:rsid w:val="00E63F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3FD2"/>
    <w:rPr>
      <w:i/>
      <w:iCs/>
      <w:color w:val="0F4761" w:themeColor="accent1" w:themeShade="BF"/>
    </w:rPr>
  </w:style>
  <w:style w:type="character" w:styleId="IntenseReference">
    <w:name w:val="Intense Reference"/>
    <w:basedOn w:val="DefaultParagraphFont"/>
    <w:uiPriority w:val="32"/>
    <w:qFormat/>
    <w:rsid w:val="00E63FD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5A7FCD3-BA5B-45BC-BA3F-69B1E823E241}"/>
</file>

<file path=customXml/itemProps2.xml><?xml version="1.0" encoding="utf-8"?>
<ds:datastoreItem xmlns:ds="http://schemas.openxmlformats.org/officeDocument/2006/customXml" ds:itemID="{167C3D13-33DA-4FC8-9E57-3C2F1598CE2D}"/>
</file>

<file path=customXml/itemProps3.xml><?xml version="1.0" encoding="utf-8"?>
<ds:datastoreItem xmlns:ds="http://schemas.openxmlformats.org/officeDocument/2006/customXml" ds:itemID="{39890C5E-5D9F-42DF-ADE3-070EE48210E5}"/>
</file>

<file path=docProps/app.xml><?xml version="1.0" encoding="utf-8"?>
<Properties xmlns="http://schemas.openxmlformats.org/officeDocument/2006/extended-properties" xmlns:vt="http://schemas.openxmlformats.org/officeDocument/2006/docPropsVTypes">
  <Template>Normal.dotm</Template>
  <TotalTime>2</TotalTime>
  <Pages>4</Pages>
  <Words>1372</Words>
  <Characters>7825</Characters>
  <Application>Microsoft Office Word</Application>
  <DocSecurity>0</DocSecurity>
  <Lines>65</Lines>
  <Paragraphs>18</Paragraphs>
  <ScaleCrop>false</ScaleCrop>
  <Company/>
  <LinksUpToDate>false</LinksUpToDate>
  <CharactersWithSpaces>9179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2026-09-02T06:14:00Z</dcterms:created>
  <dcterms:modified xsi:type="dcterms:W3CDTF">2026-09-02T06:16:00Z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