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0AF" w14:textId="5159CC3D" w:rsidR="0023679E" w:rsidRDefault="00B92D32">
      <w:pPr>
        <w:rPr>
          <w:b/>
          <w:bCs/>
        </w:rPr>
      </w:pPr>
      <w:r w:rsidRPr="00B92D32">
        <w:rPr>
          <w:b/>
          <w:bCs/>
        </w:rPr>
        <w:t xml:space="preserve">Initiatives For Women </w:t>
      </w:r>
      <w:proofErr w:type="gramStart"/>
      <w:r w:rsidRPr="00B92D32">
        <w:rPr>
          <w:b/>
          <w:bCs/>
        </w:rPr>
        <w:t>In</w:t>
      </w:r>
      <w:proofErr w:type="gramEnd"/>
      <w:r w:rsidRPr="00B92D32">
        <w:rPr>
          <w:b/>
          <w:bCs/>
        </w:rPr>
        <w:t xml:space="preserve"> Need Inc (</w:t>
      </w:r>
      <w:proofErr w:type="spellStart"/>
      <w:r w:rsidRPr="00B92D32">
        <w:rPr>
          <w:b/>
          <w:bCs/>
        </w:rPr>
        <w:t>IWiN</w:t>
      </w:r>
      <w:proofErr w:type="spellEnd"/>
      <w:r w:rsidRPr="00B92D32">
        <w:rPr>
          <w:b/>
          <w:bCs/>
        </w:rPr>
        <w:t>)</w:t>
      </w:r>
    </w:p>
    <w:p w14:paraId="13BEB07A" w14:textId="53309166" w:rsidR="00B92D32" w:rsidRDefault="00B92D32">
      <w:pPr>
        <w:rPr>
          <w:b/>
          <w:bCs/>
        </w:rPr>
      </w:pPr>
      <w:r w:rsidRPr="00B92D32">
        <w:rPr>
          <w:b/>
          <w:bCs/>
        </w:rPr>
        <w:t>Feedback for Priority Area 1: Victim-survivors</w:t>
      </w:r>
    </w:p>
    <w:p w14:paraId="54E3DBAA" w14:textId="237CD0A1" w:rsidR="00B92D32" w:rsidRDefault="00B92D32" w:rsidP="00B92D32">
      <w:proofErr w:type="spellStart"/>
      <w:r>
        <w:t>IWiN</w:t>
      </w:r>
      <w:proofErr w:type="spellEnd"/>
      <w:r>
        <w:t xml:space="preserve"> supports stronger whole-of-system support, healing and recovery for victim-survivors. However, many multicultural victim-survivors are not visible to formal systems. They may not report violence or seek help until harm has escalated. Some may not seek formal support at all.</w:t>
      </w:r>
    </w:p>
    <w:p w14:paraId="446EE093" w14:textId="77777777" w:rsidR="00B92D32" w:rsidRDefault="00B92D32" w:rsidP="00B92D32">
      <w:r>
        <w:t>The Second Action Plan should recognise that access is not only about whether services exist. Access also depends on whether women know about the service, trust the service, can communicate safely with the service, can access interpreters, feel culturally respected, understand their rights, have transport, have childcare, and believe that seeking help will not create further harm.</w:t>
      </w:r>
    </w:p>
    <w:p w14:paraId="6CAA3CBE" w14:textId="77777777" w:rsidR="00B92D32" w:rsidRDefault="00B92D32" w:rsidP="00B92D32">
      <w:r>
        <w:t>For many women, the journey to safety begins with informal disclosure in a trusted setting. This may occur during a community program, women’s event, leadership workshop, social gathering, food support activity, magazine contribution, youth program or peer conversation. These spaces should be recognised as part of the broader safety ecosystem.</w:t>
      </w:r>
    </w:p>
    <w:p w14:paraId="59E940F4" w14:textId="77777777" w:rsidR="00B92D32" w:rsidRDefault="00B92D32" w:rsidP="00B92D32">
      <w:r>
        <w:t>The Second Action Plan should strengthen long-term recovery support. Leaving violence is not the end of the journey. Women need housing, income, employment pathways, childcare, legal assistance, mental health support, social connection, community belonging and time to rebuild confidence.</w:t>
      </w:r>
    </w:p>
    <w:p w14:paraId="2A10B388" w14:textId="77777777" w:rsidR="00B92D32" w:rsidRDefault="00B92D32" w:rsidP="00B92D32">
      <w:proofErr w:type="spellStart"/>
      <w:r>
        <w:t>IWiN</w:t>
      </w:r>
      <w:proofErr w:type="spellEnd"/>
      <w:r>
        <w:t xml:space="preserve"> recommends a multicultural victim-survivor recovery pathway that connects safety planning with legal support, financial literacy, employment readiness, mental health care, housing, peer support, community connection and leadership opportunities.</w:t>
      </w:r>
    </w:p>
    <w:p w14:paraId="4D61FA3B" w14:textId="3A6386EB" w:rsidR="00B92D32" w:rsidRPr="00B92D32" w:rsidRDefault="00B92D32" w:rsidP="00B92D32">
      <w:pPr>
        <w:rPr>
          <w:b/>
          <w:bCs/>
        </w:rPr>
      </w:pPr>
      <w:r w:rsidRPr="00B92D32">
        <w:rPr>
          <w:b/>
          <w:bCs/>
        </w:rPr>
        <w:t>Feedback for Priority Area 2: Prevention and early intervention</w:t>
      </w:r>
    </w:p>
    <w:p w14:paraId="646DBB43" w14:textId="5DC44398" w:rsidR="00B92D32" w:rsidRDefault="00B92D32" w:rsidP="00B92D32">
      <w:proofErr w:type="spellStart"/>
      <w:r>
        <w:t>IWiN</w:t>
      </w:r>
      <w:proofErr w:type="spellEnd"/>
      <w:r>
        <w:t xml:space="preserve"> recommends that prevention and early intervention be a central focus of the Second Action Plan. Family violence prevention cannot rely only on broad public campaigns or formal service systems. It must also happen through trusted community relationships, culturally safe conversations, peer networks, leadership programs, economic empowerment, rights education and social inclusion.</w:t>
      </w:r>
    </w:p>
    <w:p w14:paraId="60B5E563" w14:textId="77777777" w:rsidR="00B92D32" w:rsidRDefault="00B92D32" w:rsidP="00B92D32">
      <w:r>
        <w:t>For many multicultural women, the early warning signs of violence may be hidden or normalised. Emotional abuse, coercive control, financial control, isolation, surveillance, migration-related threats, dowry-related demands, family pressure and technology-facilitated abuse may not be immediately recognised as family violence. Women may remain silent because they fear judgement, disbelief, retaliation, homelessness, visa consequences or community exclusion.</w:t>
      </w:r>
    </w:p>
    <w:p w14:paraId="3D2DDDF5" w14:textId="77777777" w:rsidR="00B92D32" w:rsidRDefault="00B92D32" w:rsidP="00B92D32">
      <w:r>
        <w:lastRenderedPageBreak/>
        <w:t>Prevention must therefore be delivered in ways that are accessible, culturally relevant and trusted. This requires more than translated brochures. It requires community-led education, multilingual conversations, peer support, storytelling, women’s leadership, youth engagement, and safe spaces where women can build confidence and knowledge without stigma.</w:t>
      </w:r>
    </w:p>
    <w:p w14:paraId="23A8D56D" w14:textId="77777777" w:rsidR="00B92D32" w:rsidRDefault="00B92D32" w:rsidP="00B92D32">
      <w:proofErr w:type="spellStart"/>
      <w:r>
        <w:t>IWiN’s</w:t>
      </w:r>
      <w:proofErr w:type="spellEnd"/>
      <w:r>
        <w:t xml:space="preserve"> work demonstrates this approach. NETRI supports women and girls from multicultural backgrounds to build leadership, confidence, communication skills, networks and civic participation. The ORANGE Skirt Social Enterprise Project creates economic pathways for women, recognising that financial independence is central to safety and recovery. WOMEN UNBOUND magazine amplifies women’s voices and creates a platform for expression, reflection, healing and public participation. YUVA supports young people to develop leadership in human rights, equality, social cohesion and respectful communities.</w:t>
      </w:r>
    </w:p>
    <w:p w14:paraId="1F106CC6" w14:textId="77777777" w:rsidR="00B92D32" w:rsidRDefault="00B92D32" w:rsidP="00B92D32">
      <w:r>
        <w:t>These programs contribute to prevention by strengthening protective factors. They reduce isolation. They increase confidence. They build knowledge of rights. They create trusted networks. They help women and young people find voice, leadership and opportunity. They support economic and social participation. They create culturally safe spaces where difficult issues can be discussed before they become crises.</w:t>
      </w:r>
    </w:p>
    <w:p w14:paraId="5429A7EB" w14:textId="77777777" w:rsidR="00B92D32" w:rsidRDefault="00B92D32" w:rsidP="00B92D32"/>
    <w:p w14:paraId="5D1BC0DB" w14:textId="77777777" w:rsidR="00B92D32" w:rsidRDefault="00B92D32" w:rsidP="00B92D32">
      <w:proofErr w:type="spellStart"/>
      <w:r>
        <w:t>IWiN</w:t>
      </w:r>
      <w:proofErr w:type="spellEnd"/>
      <w:r>
        <w:t xml:space="preserve"> recommends that the Second Action Plan fund community-led prevention models that include culturally safe rights education, coercive control awareness, financial abuse and economic security education, respectful relationships education, mental health and wellbeing support, peer networks and women’s circles, leadership programs for multicultural women and girls, youth leadership programs, community storytelling and publications, social enterprise and employment pathways, trusted referral networks and community-led advocacy.</w:t>
      </w:r>
    </w:p>
    <w:p w14:paraId="1235238A" w14:textId="77777777" w:rsidR="00B92D32" w:rsidRDefault="00B92D32" w:rsidP="00B92D32">
      <w:r>
        <w:t>Prevention must not be limited to awareness. Prevention must build power, safety, knowledge, confidence and options.</w:t>
      </w:r>
    </w:p>
    <w:p w14:paraId="10F74ACB" w14:textId="5EB2768F" w:rsidR="00B92D32" w:rsidRPr="00B92D32" w:rsidRDefault="00B92D32" w:rsidP="00B92D32">
      <w:pPr>
        <w:rPr>
          <w:b/>
          <w:bCs/>
        </w:rPr>
      </w:pPr>
      <w:r w:rsidRPr="00B92D32">
        <w:rPr>
          <w:b/>
          <w:bCs/>
        </w:rPr>
        <w:t>Feedback for Priority Area 3: Children and young people in their own right</w:t>
      </w:r>
    </w:p>
    <w:p w14:paraId="0CC26D46" w14:textId="1BA12AE5" w:rsidR="00B92D32" w:rsidRDefault="00B92D32" w:rsidP="00B92D32">
      <w:proofErr w:type="spellStart"/>
      <w:r>
        <w:t>IWiN</w:t>
      </w:r>
      <w:proofErr w:type="spellEnd"/>
      <w:r>
        <w:t xml:space="preserve"> welcomes the recognition of children and young people as </w:t>
      </w:r>
      <w:proofErr w:type="gramStart"/>
      <w:r>
        <w:t>victim-survivors in their own right</w:t>
      </w:r>
      <w:proofErr w:type="gramEnd"/>
      <w:r>
        <w:t>. Children and young people from migrant and refugee families can experience family violence directly and indirectly, while also navigating racism, settlement stress, intergenerational conflict, cultural expectations and language responsibilities.</w:t>
      </w:r>
    </w:p>
    <w:p w14:paraId="19E6D67F" w14:textId="77777777" w:rsidR="00B92D32" w:rsidRDefault="00B92D32" w:rsidP="00B92D32">
      <w:r>
        <w:t>Some children may act as interpreters for parents or help adults navigate systems. Some may carry fear, shame or confusion in silence. Young people may also be exposed to online misogyny, coercive behaviour in relationships, digital surveillance, image-based abuse and harmful peer norms.</w:t>
      </w:r>
    </w:p>
    <w:p w14:paraId="47BF853A" w14:textId="77777777" w:rsidR="00B92D32" w:rsidRDefault="00B92D32" w:rsidP="00B92D32">
      <w:r>
        <w:lastRenderedPageBreak/>
        <w:t>The Second Action Plan should support culturally tailored youth prevention programs that engage young people in conversations about consent, gender equality, coercive control, online safety, racism, family expectations, respectful relationships, bystander action and help-seeking.</w:t>
      </w:r>
    </w:p>
    <w:p w14:paraId="08FD6BEB" w14:textId="77777777" w:rsidR="00B92D32" w:rsidRDefault="00B92D32" w:rsidP="00B92D32">
      <w:proofErr w:type="spellStart"/>
      <w:r>
        <w:t>IWiN’s</w:t>
      </w:r>
      <w:proofErr w:type="spellEnd"/>
      <w:r>
        <w:t xml:space="preserve"> YUVA program provides a useful model for youth leadership in human rights, social cohesion, equality and community responsibility. Young people should not be seen only as people at risk. They should also be supported as leaders and peer educators in preventing violence.</w:t>
      </w:r>
    </w:p>
    <w:p w14:paraId="148B7888" w14:textId="42D283F4" w:rsidR="00B92D32" w:rsidRPr="00B92D32" w:rsidRDefault="00B92D32" w:rsidP="00B92D32">
      <w:pPr>
        <w:rPr>
          <w:b/>
          <w:bCs/>
        </w:rPr>
      </w:pPr>
      <w:r w:rsidRPr="00B92D32">
        <w:rPr>
          <w:b/>
          <w:bCs/>
        </w:rPr>
        <w:t>Feedback for Priority Area 4: People who use violence</w:t>
      </w:r>
    </w:p>
    <w:p w14:paraId="1966D9AA" w14:textId="7D21CB91" w:rsidR="00B92D32" w:rsidRDefault="00B92D32" w:rsidP="00B92D32">
      <w:proofErr w:type="spellStart"/>
      <w:r>
        <w:t>IWiN</w:t>
      </w:r>
      <w:proofErr w:type="spellEnd"/>
      <w:r>
        <w:t xml:space="preserve"> supports stronger accountability and earlier intervention for people who use violence. Culture must never be used to excuse violence. At the same time, interventions must be culturally informed to be effective.</w:t>
      </w:r>
    </w:p>
    <w:p w14:paraId="19B90F33" w14:textId="77777777" w:rsidR="00B92D32" w:rsidRDefault="00B92D32" w:rsidP="00B92D32">
      <w:r>
        <w:t>Programs working with men and boys from multicultural communities should address coercive control, emotional abuse, financial abuse, parenting without violence, respectful relationships, digital abuse, consent, shared responsibility at home and the legal consequences of violence.</w:t>
      </w:r>
    </w:p>
    <w:p w14:paraId="6B88D318" w14:textId="77777777" w:rsidR="00B92D32" w:rsidRDefault="00B92D32" w:rsidP="00B92D32">
      <w:r>
        <w:t>Community leaders, male allies, youth groups, cultural organisations and settlement services can help challenge harmful attitudes, but this work must be properly supported and connected to specialist family violence expertise. Victim-survivor safety must remain central.</w:t>
      </w:r>
    </w:p>
    <w:p w14:paraId="64E2D557" w14:textId="77777777" w:rsidR="00B92D32" w:rsidRDefault="00B92D32" w:rsidP="00B92D32">
      <w:proofErr w:type="spellStart"/>
      <w:r>
        <w:t>IWiN</w:t>
      </w:r>
      <w:proofErr w:type="spellEnd"/>
      <w:r>
        <w:t xml:space="preserve"> does not position itself as a specialist perpetrator intervention service. However, </w:t>
      </w:r>
      <w:proofErr w:type="spellStart"/>
      <w:r>
        <w:t>IWiN</w:t>
      </w:r>
      <w:proofErr w:type="spellEnd"/>
      <w:r>
        <w:t xml:space="preserve"> supports culturally informed prevention work with families, young people and communities to challenge the gender norms, silence and stigma that allow violence to continue.</w:t>
      </w:r>
    </w:p>
    <w:p w14:paraId="650FE9E2" w14:textId="4D9F6482" w:rsidR="00B92D32" w:rsidRPr="00B92D32" w:rsidRDefault="00B92D32" w:rsidP="00B92D32">
      <w:pPr>
        <w:rPr>
          <w:b/>
          <w:bCs/>
        </w:rPr>
      </w:pPr>
      <w:r w:rsidRPr="00B92D32">
        <w:rPr>
          <w:b/>
          <w:bCs/>
        </w:rPr>
        <w:t>Feedback for Priority Area 5: System Integration and Workforce</w:t>
      </w:r>
    </w:p>
    <w:p w14:paraId="7B172911" w14:textId="6D1F4E68" w:rsidR="00B92D32" w:rsidRDefault="00B92D32" w:rsidP="00B92D32">
      <w:r>
        <w:t>The current system is fragmented and difficult to navigate. A woman experiencing violence may need to deal with police, courts, housing, Centrelink, immigration, health services, mental health providers, child protection, schools, banks, legal services, family violence services and community organisations at the same time. This is overwhelming for any victim-survivor. It is even more difficult for women with limited English, limited income, trauma, children, visa insecurity or no family support in Australia.</w:t>
      </w:r>
    </w:p>
    <w:p w14:paraId="428F5A00" w14:textId="77777777" w:rsidR="00B92D32" w:rsidRDefault="00B92D32" w:rsidP="00B92D32">
      <w:r>
        <w:t>Grassroots organisations often perform system navigation informally. They explain services, help women make calls, connect women with trusted contacts, provide emotional support, assist with forms, help with transport, advocate with agencies, and encourage women to seek help. However, this work is rarely funded properly. It is often invisible in formal service models.</w:t>
      </w:r>
    </w:p>
    <w:p w14:paraId="107C9057" w14:textId="77777777" w:rsidR="00B92D32" w:rsidRDefault="00B92D32" w:rsidP="00B92D32">
      <w:proofErr w:type="spellStart"/>
      <w:r>
        <w:lastRenderedPageBreak/>
        <w:t>IWiN</w:t>
      </w:r>
      <w:proofErr w:type="spellEnd"/>
      <w:r>
        <w:t xml:space="preserve"> recommends the development of a national multicultural family violence navigator model, delivered in partnership with grassroots organisations and specialist services. Navigators should be trained in trauma-informed practice, cultural safety, family violence risk, coercive control, interpreter use, confidentiality, migration-related abuse, financial abuse, housing pathways and referral systems.</w:t>
      </w:r>
    </w:p>
    <w:p w14:paraId="15BA0105" w14:textId="77777777" w:rsidR="00B92D32" w:rsidRDefault="00B92D32" w:rsidP="00B92D32">
      <w:r>
        <w:t>System integration must also mean funding integration. Too often, large organisations are funded to deliver services to multicultural communities, while grassroots organisations are asked to provide community access, consultation, promotion, translation, lived experience and trust without equivalent resourcing. This is not equitable partnership.</w:t>
      </w:r>
    </w:p>
    <w:p w14:paraId="1BC5E520" w14:textId="77777777" w:rsidR="00B92D32" w:rsidRDefault="00B92D32" w:rsidP="00B92D32">
      <w:r>
        <w:t>The Second Action Plan should require funded services to partner fairly with grassroots organisations and allocate resources to them when they are expected to provide community engagement, referral, co-design, translation, lived experience input or cultural expertise.</w:t>
      </w:r>
    </w:p>
    <w:p w14:paraId="11F3BAF8" w14:textId="77777777" w:rsidR="00B92D32" w:rsidRDefault="00B92D32" w:rsidP="00B92D32">
      <w:r>
        <w:t>Workforce development must also go beyond cultural awareness. Mainstream and specialist services need practical training in cultural safety, safe enquiry, coercive control in diverse family contexts, migration-related abuse, economic abuse, dowry-related abuse, use of qualified interpreters, confidentiality in small communities, racism and service access, trauma-informed practice, avoiding victim-blaming, warm referrals and community partnership.</w:t>
      </w:r>
    </w:p>
    <w:p w14:paraId="34F0B23D" w14:textId="77777777" w:rsidR="00B92D32" w:rsidRDefault="00B92D32" w:rsidP="00B92D32">
      <w:r>
        <w:t>Workforce diversity is also essential. Multicultural women with lived expertise and community leadership experience should be supported into paid roles in prevention, early intervention, advocacy, recovery, research, evaluation and policy design.</w:t>
      </w:r>
    </w:p>
    <w:p w14:paraId="4577B874" w14:textId="481CA0BE" w:rsidR="00B92D32" w:rsidRPr="00B92D32" w:rsidRDefault="00B92D32" w:rsidP="00B92D32">
      <w:pPr>
        <w:rPr>
          <w:b/>
          <w:bCs/>
        </w:rPr>
      </w:pPr>
      <w:r w:rsidRPr="00B92D32">
        <w:rPr>
          <w:b/>
          <w:bCs/>
        </w:rPr>
        <w:t>Are there any other actions you think should be a priority to stop family, domestic and sexual violence?</w:t>
      </w:r>
    </w:p>
    <w:p w14:paraId="3274FD6F" w14:textId="0D4F6DC5" w:rsidR="00B92D32" w:rsidRDefault="00B92D32" w:rsidP="00B92D32">
      <w:r>
        <w:t>1.The Missing Piece: Dedicated Funding for Grassroots Organisations</w:t>
      </w:r>
    </w:p>
    <w:p w14:paraId="4D2B6982" w14:textId="77777777" w:rsidR="00B92D32" w:rsidRDefault="00B92D32" w:rsidP="00B92D32">
      <w:proofErr w:type="spellStart"/>
      <w:r>
        <w:t>IWiN</w:t>
      </w:r>
      <w:proofErr w:type="spellEnd"/>
      <w:r>
        <w:t xml:space="preserve"> strongly recommends that the Second Action Plan directly address structural funding inequity faced by small grassroots community organisations.</w:t>
      </w:r>
    </w:p>
    <w:p w14:paraId="157B866F" w14:textId="77777777" w:rsidR="00B92D32" w:rsidRDefault="00B92D32" w:rsidP="00B92D32">
      <w:r>
        <w:t>The current funding system often favours large and medium-sized not-for-profit organisations. These organisations usually have paid staff, compliance systems, financial infrastructure, grant writers and established relationships with funders. Small grassroots organisations, particularly those led by multicultural women, often do not have these resources.</w:t>
      </w:r>
    </w:p>
    <w:p w14:paraId="3EE0FA82" w14:textId="77777777" w:rsidR="00B92D32" w:rsidRDefault="00B92D32" w:rsidP="00B92D32">
      <w:r>
        <w:t xml:space="preserve">This creates a serious policy gap. The organisations with the deepest reach into marginalised communities are often the least resourced. They are closest to women who do not report violence, do not access mainstream services and do not appear in </w:t>
      </w:r>
      <w:r>
        <w:lastRenderedPageBreak/>
        <w:t>official data. Yet these organisations are frequently treated as informal connectors rather than funded partners.</w:t>
      </w:r>
    </w:p>
    <w:p w14:paraId="57F7312E" w14:textId="77777777" w:rsidR="00B92D32" w:rsidRDefault="00B92D32" w:rsidP="00B92D32">
      <w:r>
        <w:t>Volunteer-led grassroots organisations contribute to family violence prevention and response through education, advocacy, counselling or informal emotional support, food support, emergency assistance, social connection, translation and interpretation assistance, transport help, leadership development, referral support and culturally safe spaces. They often respond outside business hours, in crisis moments and through trusted relationships built over many years.</w:t>
      </w:r>
    </w:p>
    <w:p w14:paraId="41269764" w14:textId="77777777" w:rsidR="00B92D32" w:rsidRDefault="00B92D32" w:rsidP="00B92D32">
      <w:r>
        <w:t>This contribution should no longer be invisible or unfunded. If Australia is serious about ending violence against women and children in one generation, it must fund the community infrastructure that reaches women before, during and after crisis.</w:t>
      </w:r>
    </w:p>
    <w:p w14:paraId="008A9D77" w14:textId="77777777" w:rsidR="00B92D32" w:rsidRDefault="00B92D32" w:rsidP="00B92D32">
      <w:proofErr w:type="spellStart"/>
      <w:r>
        <w:t>IWiN</w:t>
      </w:r>
      <w:proofErr w:type="spellEnd"/>
      <w:r>
        <w:t xml:space="preserve"> recommends establishing a separate national or jurisdictional body, fund or commissioning mechanism for grassroots, volunteer-led and community-led organisations working with women, children and families affected by family and domestic violence, gender inequality and related health, mental health, social and economic impacts.</w:t>
      </w:r>
    </w:p>
    <w:p w14:paraId="60C7924E" w14:textId="77777777" w:rsidR="00B92D32" w:rsidRDefault="00B92D32" w:rsidP="00B92D32">
      <w:r>
        <w:t>This mechanism should provide substantial, flexible and multi-year funding; use simplified and accessible application processes; recognise volunteer labour and community trust as evidence of capability; fund prevention, early intervention, recovery and community education, not only crisis response; support small organisations with governance, safeguarding, evaluation and reporting capacity; allow partnerships with specialist services without requiring grassroots organisations to be absorbed by larger providers; include multicultural women’s organisations in decision-making; fund lived-experience-led and community-led program design; recognise advocacy and community education as legitimate funded activities; and measure outcomes through both quantitative and qualitative evidence.</w:t>
      </w:r>
    </w:p>
    <w:p w14:paraId="63449D64" w14:textId="77777777" w:rsidR="00B92D32" w:rsidRDefault="00B92D32" w:rsidP="00B92D32">
      <w:r>
        <w:t>A separate mechanism is needed because multicultural women and children often do not reach formal systems until violence has escalated. Grassroots organisations are often the bridge between silence and support. Without resourcing these organisations, national policy will continue to miss the women and children who are least visible but most in need of culturally safe support.</w:t>
      </w:r>
    </w:p>
    <w:p w14:paraId="5A56EF93" w14:textId="77777777" w:rsidR="00B92D32" w:rsidRDefault="00B92D32" w:rsidP="00B92D32"/>
    <w:p w14:paraId="151E1AB2" w14:textId="3B32E2C0" w:rsidR="00B92D32" w:rsidRDefault="00B92D32" w:rsidP="00B92D32">
      <w:r>
        <w:t>2. Economic Security as Prevention and Recovery</w:t>
      </w:r>
    </w:p>
    <w:p w14:paraId="3EF2CBD9" w14:textId="77777777" w:rsidR="00B92D32" w:rsidRDefault="00B92D32" w:rsidP="00B92D32">
      <w:r>
        <w:t xml:space="preserve">Economic security must be treated as a core pillar of the Second Action Plan. Financial dependence is one of the major reasons women remain in unsafe relationships or return to them. Economic abuse can include control of income, debt, restriction of work </w:t>
      </w:r>
      <w:r>
        <w:lastRenderedPageBreak/>
        <w:t>or study, misuse of joint accounts, sabotage of employment, control of benefits, dowry-related demands, forced remittances and threats linked to visa or sponsorship status.</w:t>
      </w:r>
    </w:p>
    <w:p w14:paraId="03830B9E" w14:textId="77777777" w:rsidR="00B92D32" w:rsidRDefault="00B92D32" w:rsidP="00B92D32">
      <w:r>
        <w:t>For multicultural women, economic insecurity may be compounded by non-recognition of overseas qualifications, lack of Australian work experience, limited English, lack of childcare, racism in employment, trauma, isolation and lack of confidence after violence.</w:t>
      </w:r>
    </w:p>
    <w:p w14:paraId="55616053" w14:textId="77777777" w:rsidR="00B92D32" w:rsidRDefault="00B92D32" w:rsidP="00B92D32">
      <w:r>
        <w:t>The Second Action Plan should link family violence prevention and recovery with employment support, financial literacy, small business pathways, social enterprise, recognition of overseas skills, childcare access and flexible training.</w:t>
      </w:r>
    </w:p>
    <w:p w14:paraId="13B92546" w14:textId="77777777" w:rsidR="00B92D32" w:rsidRDefault="00B92D32" w:rsidP="00B92D32">
      <w:proofErr w:type="spellStart"/>
      <w:r>
        <w:t>IWiN’s</w:t>
      </w:r>
      <w:proofErr w:type="spellEnd"/>
      <w:r>
        <w:t xml:space="preserve"> ORANGE Skirt Social Enterprise Project is an example of how economic empowerment can be connected to safety, dignity, confidence and recovery.</w:t>
      </w:r>
    </w:p>
    <w:p w14:paraId="40D7AF18" w14:textId="77777777" w:rsidR="00B92D32" w:rsidRDefault="00B92D32" w:rsidP="00B92D32"/>
    <w:p w14:paraId="162BC0CA" w14:textId="2A31C4D4" w:rsidR="00B92D32" w:rsidRDefault="00B92D32" w:rsidP="00B92D32">
      <w:r>
        <w:t>3. Data, Evidence and Accountability</w:t>
      </w:r>
    </w:p>
    <w:p w14:paraId="278FC8D2" w14:textId="77777777" w:rsidR="00B92D32" w:rsidRDefault="00B92D32" w:rsidP="00B92D32">
      <w:r>
        <w:t>The Second Action Plan should improve data collection and evaluation on how policies and services are working for multicultural, migrant and refugee women and children. Many women do not report family violence, and many forms of abuse are under-recognised in mainstream data. This includes coercive control, migration-related abuse, economic abuse, dowry-related abuse, technology-facilitated abuse, racism, community pressure and informal help-seeking.</w:t>
      </w:r>
    </w:p>
    <w:p w14:paraId="5217E60C" w14:textId="77777777" w:rsidR="00B92D32" w:rsidRDefault="00B92D32" w:rsidP="00B92D32">
      <w:r>
        <w:t>Evaluation should include lived experience, community-led research, qualitative evidence and practice-based knowledge from grassroots organisations. It should also measure whether funding is reaching the organisations that are closest to marginalised women and children.</w:t>
      </w:r>
    </w:p>
    <w:p w14:paraId="79E13851" w14:textId="77777777" w:rsidR="00B92D32" w:rsidRDefault="00B92D32" w:rsidP="00B92D32">
      <w:r>
        <w:t>Suggested indicators include access to culturally safe support, availability of multilingual information, use of qualified interpreters, support for women on temporary visas, access to housing, income, legal and mental health support, investment in grassroots organisations, workforce diversity, community-led prevention outcomes, victim-survivor trust and satisfaction, reduction in repeated storytelling, and long-term recovery and economic security.</w:t>
      </w:r>
    </w:p>
    <w:p w14:paraId="503A7316" w14:textId="77777777" w:rsidR="00B92D32" w:rsidRDefault="00B92D32" w:rsidP="00B92D32">
      <w:r>
        <w:t>Data and evaluation should not only measure service usage. If many multicultural women and children do not access formal services, then service data alone will underestimate need. The Second Action Plan should therefore include community-led evidence, lived experience and qualitative data to understand hidden barriers and missed populations.</w:t>
      </w:r>
    </w:p>
    <w:p w14:paraId="6D5DEFFA" w14:textId="77777777" w:rsidR="00B92D32" w:rsidRDefault="00B92D32" w:rsidP="00B92D32"/>
    <w:p w14:paraId="7FE52084" w14:textId="5258D421" w:rsidR="00B92D32" w:rsidRDefault="00B92D32" w:rsidP="00B92D32">
      <w:r>
        <w:lastRenderedPageBreak/>
        <w:t>4. Recognition of Volunteer-led Grassroots Multicultural Organisations as a Policy design partner</w:t>
      </w:r>
    </w:p>
    <w:p w14:paraId="141D6C48" w14:textId="77777777" w:rsidR="00B92D32" w:rsidRDefault="00B92D32" w:rsidP="00B92D32">
      <w:proofErr w:type="spellStart"/>
      <w:r>
        <w:t>IWiN</w:t>
      </w:r>
      <w:proofErr w:type="spellEnd"/>
      <w:r>
        <w:t xml:space="preserve"> welcomes the opportunity to contribute to the Second Action Plan. This is a critical opportunity to move from awareness to action, from crisis response to prevention, and from generic inclusion to genuine equity.</w:t>
      </w:r>
    </w:p>
    <w:p w14:paraId="47CFB13D" w14:textId="77777777" w:rsidR="00B92D32" w:rsidRDefault="00B92D32" w:rsidP="00B92D32">
      <w:r>
        <w:t>For multicultural women and children, safety is not only the absence of violence. Safety means having rights, income, housing, language access, trusted support, community connection, legal protection, confidence and choice. It means being able to leave violence without losing everything. It means children being recognised and supported. It means services understanding the realities of culture, migration, racism, trauma and economic dependence. It means women being heard not only as victim-survivors, but as leaders, advocates and agents of change.</w:t>
      </w:r>
    </w:p>
    <w:p w14:paraId="05CF5C03" w14:textId="77777777" w:rsidR="00B92D32" w:rsidRDefault="00B92D32" w:rsidP="00B92D32">
      <w:r>
        <w:t>The Second Action Plan must also recognise that grassroots volunteer-led organisations are essential social justice infrastructure. They are often the first to hear hidden stories of violence, the first to provide support, and the first to build trust with women who may never approach mainstream services. Yet they remain underfunded, overstretched and structurally disadvantaged by current funding systems.</w:t>
      </w:r>
    </w:p>
    <w:p w14:paraId="7F099350" w14:textId="77777777" w:rsidR="00B92D32" w:rsidRDefault="00B92D32" w:rsidP="00B92D32">
      <w:proofErr w:type="spellStart"/>
      <w:r>
        <w:t>IWiN</w:t>
      </w:r>
      <w:proofErr w:type="spellEnd"/>
      <w:r>
        <w:t xml:space="preserve"> urges the Australian Government to establish an </w:t>
      </w:r>
      <w:proofErr w:type="spellStart"/>
      <w:r>
        <w:t>efffective</w:t>
      </w:r>
      <w:proofErr w:type="spellEnd"/>
      <w:r>
        <w:t xml:space="preserve"> mechanism to </w:t>
      </w:r>
      <w:proofErr w:type="gramStart"/>
      <w:r>
        <w:t>recognise  volunteer</w:t>
      </w:r>
      <w:proofErr w:type="gramEnd"/>
      <w:r>
        <w:t>-led grassroots multicultural organisations (working with women, children and families experiencing family and domestic violence, gender inequality and related health, mental health, social and economic impacts) and include them in co-designing the policies and programs to prevent violence against women and children.</w:t>
      </w:r>
    </w:p>
    <w:p w14:paraId="7F8234C1" w14:textId="34CECB08" w:rsidR="00B92D32" w:rsidRPr="00B92D32" w:rsidRDefault="00B92D32" w:rsidP="00B92D32">
      <w:r>
        <w:t>Ending violence against women and children in one generation will only be possible if the women and children facing the greatest barriers are not left at the margins of policy, and if the organisations closest to them are no longer left at the margins of funding.</w:t>
      </w:r>
    </w:p>
    <w:sectPr w:rsidR="00B92D32" w:rsidRPr="00B92D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D32"/>
    <w:rsid w:val="00022A23"/>
    <w:rsid w:val="000819ED"/>
    <w:rsid w:val="0023679E"/>
    <w:rsid w:val="00B92D32"/>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3374"/>
  <w15:chartTrackingRefBased/>
  <w15:docId w15:val="{BA9EAFC9-63BA-4C9A-8C1B-20111112E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D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2D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D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D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2D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2D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D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D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D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D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2D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2D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D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2D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2D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D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D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D32"/>
    <w:rPr>
      <w:rFonts w:eastAsiaTheme="majorEastAsia" w:cstheme="majorBidi"/>
      <w:color w:val="272727" w:themeColor="text1" w:themeTint="D8"/>
    </w:rPr>
  </w:style>
  <w:style w:type="paragraph" w:styleId="Title">
    <w:name w:val="Title"/>
    <w:basedOn w:val="Normal"/>
    <w:next w:val="Normal"/>
    <w:link w:val="TitleChar"/>
    <w:uiPriority w:val="10"/>
    <w:qFormat/>
    <w:rsid w:val="00B92D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D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D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D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D32"/>
    <w:pPr>
      <w:spacing w:before="160"/>
      <w:jc w:val="center"/>
    </w:pPr>
    <w:rPr>
      <w:i/>
      <w:iCs/>
      <w:color w:val="404040" w:themeColor="text1" w:themeTint="BF"/>
    </w:rPr>
  </w:style>
  <w:style w:type="character" w:customStyle="1" w:styleId="QuoteChar">
    <w:name w:val="Quote Char"/>
    <w:basedOn w:val="DefaultParagraphFont"/>
    <w:link w:val="Quote"/>
    <w:uiPriority w:val="29"/>
    <w:rsid w:val="00B92D32"/>
    <w:rPr>
      <w:i/>
      <w:iCs/>
      <w:color w:val="404040" w:themeColor="text1" w:themeTint="BF"/>
    </w:rPr>
  </w:style>
  <w:style w:type="paragraph" w:styleId="ListParagraph">
    <w:name w:val="List Paragraph"/>
    <w:basedOn w:val="Normal"/>
    <w:uiPriority w:val="34"/>
    <w:qFormat/>
    <w:rsid w:val="00B92D32"/>
    <w:pPr>
      <w:ind w:left="720"/>
      <w:contextualSpacing/>
    </w:pPr>
  </w:style>
  <w:style w:type="character" w:styleId="IntenseEmphasis">
    <w:name w:val="Intense Emphasis"/>
    <w:basedOn w:val="DefaultParagraphFont"/>
    <w:uiPriority w:val="21"/>
    <w:qFormat/>
    <w:rsid w:val="00B92D32"/>
    <w:rPr>
      <w:i/>
      <w:iCs/>
      <w:color w:val="0F4761" w:themeColor="accent1" w:themeShade="BF"/>
    </w:rPr>
  </w:style>
  <w:style w:type="paragraph" w:styleId="IntenseQuote">
    <w:name w:val="Intense Quote"/>
    <w:basedOn w:val="Normal"/>
    <w:next w:val="Normal"/>
    <w:link w:val="IntenseQuoteChar"/>
    <w:uiPriority w:val="30"/>
    <w:qFormat/>
    <w:rsid w:val="00B92D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D32"/>
    <w:rPr>
      <w:i/>
      <w:iCs/>
      <w:color w:val="0F4761" w:themeColor="accent1" w:themeShade="BF"/>
    </w:rPr>
  </w:style>
  <w:style w:type="character" w:styleId="IntenseReference">
    <w:name w:val="Intense Reference"/>
    <w:basedOn w:val="DefaultParagraphFont"/>
    <w:uiPriority w:val="32"/>
    <w:qFormat/>
    <w:rsid w:val="00B92D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5395E6-D801-43BD-A979-70E1F6A76A6A}"/>
</file>

<file path=customXml/itemProps2.xml><?xml version="1.0" encoding="utf-8"?>
<ds:datastoreItem xmlns:ds="http://schemas.openxmlformats.org/officeDocument/2006/customXml" ds:itemID="{C9922C43-405F-43B6-B2CB-37B920053F4B}"/>
</file>

<file path=customXml/itemProps3.xml><?xml version="1.0" encoding="utf-8"?>
<ds:datastoreItem xmlns:ds="http://schemas.openxmlformats.org/officeDocument/2006/customXml" ds:itemID="{2ED1F369-5841-42A4-861D-B48022A865CC}"/>
</file>

<file path=docProps/app.xml><?xml version="1.0" encoding="utf-8"?>
<Properties xmlns="http://schemas.openxmlformats.org/officeDocument/2006/extended-properties" xmlns:vt="http://schemas.openxmlformats.org/officeDocument/2006/docPropsVTypes">
  <Template>Normal.dotm</Template>
  <TotalTime>2</TotalTime>
  <Pages>7</Pages>
  <Words>2609</Words>
  <Characters>14877</Characters>
  <Application>Microsoft Office Word</Application>
  <DocSecurity>0</DocSecurity>
  <Lines>123</Lines>
  <Paragraphs>34</Paragraphs>
  <ScaleCrop>false</ScaleCrop>
  <Company/>
  <LinksUpToDate>false</LinksUpToDate>
  <CharactersWithSpaces>17452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2026-09-03T00:24:00Z</dcterms:created>
  <dcterms:modified xsi:type="dcterms:W3CDTF">2026-09-03T00:26:00Z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