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6BF04" w14:textId="632D366E" w:rsidR="0023679E" w:rsidRDefault="006A12FD">
      <w:pPr>
        <w:rPr>
          <w:b/>
          <w:bCs/>
        </w:rPr>
      </w:pPr>
      <w:r w:rsidRPr="006A12FD">
        <w:rPr>
          <w:b/>
          <w:bCs/>
        </w:rPr>
        <w:t>Institute of non-violence</w:t>
      </w:r>
    </w:p>
    <w:p w14:paraId="5A33411B" w14:textId="711F5877" w:rsidR="006A12FD" w:rsidRDefault="006A12FD">
      <w:pPr>
        <w:rPr>
          <w:b/>
          <w:bCs/>
        </w:rPr>
      </w:pPr>
      <w:r w:rsidRPr="006A12FD">
        <w:rPr>
          <w:b/>
          <w:bCs/>
        </w:rPr>
        <w:t>Feedback for Priority Area 1: Victim-survivors</w:t>
      </w:r>
    </w:p>
    <w:p w14:paraId="609B1747" w14:textId="6599EEFC" w:rsidR="006A12FD" w:rsidRDefault="006A12FD" w:rsidP="006A12FD">
      <w:proofErr w:type="spellStart"/>
      <w:r>
        <w:t>IoNV</w:t>
      </w:r>
      <w:proofErr w:type="spellEnd"/>
      <w:r>
        <w:t xml:space="preserve"> supports the current National Action Plan’s focus on gender inequality as a key driver of violence. However, gender interacts with race, class, culture, migration status, disability, sexuality, age and other factors that shape risk, discrimination and access to safety, support and justice.</w:t>
      </w:r>
    </w:p>
    <w:p w14:paraId="747C93AE" w14:textId="5D722E35" w:rsidR="006A12FD" w:rsidRDefault="006A12FD" w:rsidP="006A12FD">
      <w:r>
        <w:t xml:space="preserve">The Second Action Plan (2AP) must therefore adopt an intersectional feminist framework that addresses gendered drivers of violence while recognising how structural inequalities compound harm and exclusion. </w:t>
      </w:r>
    </w:p>
    <w:p w14:paraId="23E1F43E" w14:textId="0063A058" w:rsidR="006A12FD" w:rsidRDefault="006A12FD" w:rsidP="006A12FD">
      <w:r>
        <w:t>This framework strengthens accountability by challenging gender inequality, rigid gender norms, entitlement and violence-supportive beliefs. It also enables culturally safe, inclusive and trauma-responsive responses for First Nations, migrant and refugee, LGBTQ+, disabled and other marginalised communities, without imposing a single Western model of gender, family or relationships.</w:t>
      </w:r>
    </w:p>
    <w:p w14:paraId="44413283" w14:textId="090AF177" w:rsidR="006A12FD" w:rsidRDefault="006A12FD" w:rsidP="006A12FD">
      <w:r>
        <w:t>The Second Action Plan should:</w:t>
      </w:r>
    </w:p>
    <w:p w14:paraId="143B928D" w14:textId="77777777" w:rsidR="006A12FD" w:rsidRDefault="006A12FD" w:rsidP="006A12FD">
      <w:r>
        <w:t>•</w:t>
      </w:r>
      <w:r>
        <w:tab/>
        <w:t>Embed intersectional feminist analysis across policy, funding, program design and evaluation – for example, by naming and explicitly addressing how gender, race, disability, migration status and sexuality is affecting access, risk and outcomes in a particular context.</w:t>
      </w:r>
    </w:p>
    <w:p w14:paraId="4C71DF39" w14:textId="77777777" w:rsidR="006A12FD" w:rsidRDefault="006A12FD" w:rsidP="006A12FD">
      <w:r>
        <w:t>•</w:t>
      </w:r>
      <w:r>
        <w:tab/>
        <w:t>Require disaggregated data and measurable equity outcomes – for example, reporting service access, completion, safety and recovery outcomes by relevant demographic factors.</w:t>
      </w:r>
    </w:p>
    <w:p w14:paraId="478D69CB" w14:textId="77777777" w:rsidR="006A12FD" w:rsidRDefault="006A12FD" w:rsidP="006A12FD">
      <w:r>
        <w:t>•</w:t>
      </w:r>
      <w:r>
        <w:tab/>
        <w:t>Support co-design implementation with lived-experience, First Nations and multicultural communities through paid advisory roles, community-controlled partnerships, shared decision-making and transparent reporting on how community advice shapes policy and delivery.</w:t>
      </w:r>
    </w:p>
    <w:p w14:paraId="6588FCC2" w14:textId="77777777" w:rsidR="006A12FD" w:rsidRDefault="006A12FD" w:rsidP="006A12FD">
      <w:r>
        <w:t>•</w:t>
      </w:r>
      <w:r>
        <w:tab/>
        <w:t>Fund flexible, integrated interventions combining family safety, risk assessment and management, cultural and/or visa requirements, therapeutic support and interagency collaboration.</w:t>
      </w:r>
    </w:p>
    <w:p w14:paraId="1190C61E" w14:textId="233D92A9" w:rsidR="006A12FD" w:rsidRPr="006A12FD" w:rsidRDefault="006A12FD" w:rsidP="006A12FD">
      <w:pPr>
        <w:rPr>
          <w:b/>
          <w:bCs/>
        </w:rPr>
      </w:pPr>
      <w:r w:rsidRPr="006A12FD">
        <w:rPr>
          <w:b/>
          <w:bCs/>
        </w:rPr>
        <w:t>Feedback for Priority Area 2: Prevention and early intervention</w:t>
      </w:r>
    </w:p>
    <w:p w14:paraId="53019E84" w14:textId="0C302ACD" w:rsidR="006A12FD" w:rsidRDefault="006A12FD" w:rsidP="006A12FD">
      <w:r>
        <w:t>Multicultural communities face systemic racism, language barriers, migration-related abuse and fragmented services and extreme marginalisation that limit access to safety, support and justice.</w:t>
      </w:r>
    </w:p>
    <w:p w14:paraId="0DC86911" w14:textId="2EE69FF0" w:rsidR="006A12FD" w:rsidRDefault="006A12FD" w:rsidP="006A12FD">
      <w:r>
        <w:lastRenderedPageBreak/>
        <w:t>Culturally responsive practice must extend beyond translation and interpreting services to address migration, trauma, racism, settlement pressures, family structures and collective healing.</w:t>
      </w:r>
    </w:p>
    <w:p w14:paraId="5B7B52CD" w14:textId="60928D22" w:rsidR="006A12FD" w:rsidRDefault="006A12FD" w:rsidP="006A12FD">
      <w:r>
        <w:t xml:space="preserve">Specialist multicultural organisations, bicultural workers and interpreters provide trusted pathways that mainstream services often </w:t>
      </w:r>
      <w:proofErr w:type="gramStart"/>
      <w:r>
        <w:t>cannot, and</w:t>
      </w:r>
      <w:proofErr w:type="gramEnd"/>
      <w:r>
        <w:t xml:space="preserve"> yet lack true recognition and funding for this.</w:t>
      </w:r>
    </w:p>
    <w:p w14:paraId="0365A7A8" w14:textId="713D2E1C" w:rsidR="006A12FD" w:rsidRDefault="006A12FD" w:rsidP="006A12FD">
      <w:r>
        <w:t>The Second Action Plan should:</w:t>
      </w:r>
    </w:p>
    <w:p w14:paraId="6DDD7A7F" w14:textId="77777777" w:rsidR="006A12FD" w:rsidRDefault="006A12FD" w:rsidP="006A12FD">
      <w:r>
        <w:t>•</w:t>
      </w:r>
      <w:r>
        <w:tab/>
        <w:t>explicitly recognise multicultural communities – for example, by naming migrant and refugee communities as priority populations and setting measurable access and safety outcomes;</w:t>
      </w:r>
    </w:p>
    <w:p w14:paraId="64B14941" w14:textId="77777777" w:rsidR="006A12FD" w:rsidRDefault="006A12FD" w:rsidP="006A12FD">
      <w:r>
        <w:t>•</w:t>
      </w:r>
      <w:r>
        <w:tab/>
        <w:t>Fund specialist multicultural organisations, bicultural workers and interpreters through multi-year grants for community-led prevention, case coordination and interpreter-supported counselling, with funding levels and outcomes reported publicly.</w:t>
      </w:r>
    </w:p>
    <w:p w14:paraId="75E36EEB" w14:textId="77777777" w:rsidR="006A12FD" w:rsidRDefault="006A12FD" w:rsidP="006A12FD">
      <w:r>
        <w:t>•</w:t>
      </w:r>
      <w:r>
        <w:tab/>
        <w:t>embed cultural safety, culturally responsive capability and genuine co-design across funded services – for example, through mandatory antiracism and cultural-responsiveness training, community advisory panels and service standards developed with lived-experience experts.</w:t>
      </w:r>
    </w:p>
    <w:p w14:paraId="2D927269" w14:textId="1111DBA5" w:rsidR="006A12FD" w:rsidRPr="006A12FD" w:rsidRDefault="006A12FD" w:rsidP="006A12FD">
      <w:pPr>
        <w:rPr>
          <w:b/>
          <w:bCs/>
        </w:rPr>
      </w:pPr>
      <w:r w:rsidRPr="006A12FD">
        <w:rPr>
          <w:b/>
          <w:bCs/>
        </w:rPr>
        <w:t>Feedback for Priority Area 3: Children and young people in their own right</w:t>
      </w:r>
    </w:p>
    <w:p w14:paraId="37FC46FC" w14:textId="752411D8" w:rsidR="006A12FD" w:rsidRDefault="006A12FD" w:rsidP="006A12FD">
      <w:r>
        <w:t>Fragmented services undermine recovery and long-term safety.</w:t>
      </w:r>
    </w:p>
    <w:p w14:paraId="6AE49F2E" w14:textId="03CD818F" w:rsidR="006A12FD" w:rsidRDefault="006A12FD" w:rsidP="006A12FD">
      <w:r>
        <w:t>Children and young people should not have to navigate homelessness, legal proceedings, migration insecurity, racism, poverty or loss of contact with their safe parent while receiving only short-term crisis support. Governments must fund coordinated pathways from immediate safety to sustained recovery.</w:t>
      </w:r>
    </w:p>
    <w:p w14:paraId="3C791584" w14:textId="7DF0089D" w:rsidR="006A12FD" w:rsidRDefault="006A12FD" w:rsidP="006A12FD">
      <w:r>
        <w:t>Federal, state and territory governments should:</w:t>
      </w:r>
    </w:p>
    <w:p w14:paraId="0C3B3409" w14:textId="77777777" w:rsidR="006A12FD" w:rsidRDefault="006A12FD" w:rsidP="006A12FD">
      <w:r>
        <w:t>•</w:t>
      </w:r>
      <w:r>
        <w:tab/>
        <w:t>establish funded, accountable service-navigation pathways across housing, legal, migration, health and family violence systems;</w:t>
      </w:r>
    </w:p>
    <w:p w14:paraId="5647F0E5" w14:textId="77777777" w:rsidR="006A12FD" w:rsidRDefault="006A12FD" w:rsidP="006A12FD">
      <w:r>
        <w:t>•</w:t>
      </w:r>
      <w:r>
        <w:tab/>
        <w:t>encourage, through non-competitive tendering, multidisciplinary, trauma-responsive partnerships that provide continuous support from crisis through recovery – for example, family violence practitioners working alongside housing, legal, mental health and child-support specialists; and where partnerships are encouraged through funding streams, each partner in the collaboration receives funds for their portion of the work, rather than funnelling funds into one body and assuming that they’ll distribute it fairly;</w:t>
      </w:r>
    </w:p>
    <w:p w14:paraId="20F160CD" w14:textId="77777777" w:rsidR="006A12FD" w:rsidRDefault="006A12FD" w:rsidP="006A12FD">
      <w:r>
        <w:lastRenderedPageBreak/>
        <w:t>•</w:t>
      </w:r>
      <w:r>
        <w:tab/>
        <w:t>provide sustained funding for community-led prevention and culturally responsive programs via specialist cultural services that show evidence of significant family violence response forming part of their work; and</w:t>
      </w:r>
    </w:p>
    <w:p w14:paraId="671B699E" w14:textId="77777777" w:rsidR="006A12FD" w:rsidRDefault="006A12FD" w:rsidP="006A12FD">
      <w:r>
        <w:t>•</w:t>
      </w:r>
      <w:r>
        <w:tab/>
        <w:t>recognise and resource eldership and ‘the more silent leaders’ in cultural communities and support place-based innovation, with clear outcomes for safety, access and long-term recovery.</w:t>
      </w:r>
    </w:p>
    <w:p w14:paraId="39AE015C" w14:textId="77777777" w:rsidR="006A12FD" w:rsidRDefault="006A12FD" w:rsidP="006A12FD">
      <w:r>
        <w:t>Implementation should be independently evaluated against national indicators for safety, repeat violence, service access, engagement, program completion and recovery, with findings published and used to improve funding and delivery.</w:t>
      </w:r>
    </w:p>
    <w:p w14:paraId="64B13A46" w14:textId="14A5806D" w:rsidR="006A12FD" w:rsidRPr="006A12FD" w:rsidRDefault="006A12FD" w:rsidP="006A12FD">
      <w:pPr>
        <w:rPr>
          <w:b/>
          <w:bCs/>
        </w:rPr>
      </w:pPr>
      <w:r w:rsidRPr="006A12FD">
        <w:rPr>
          <w:b/>
          <w:bCs/>
        </w:rPr>
        <w:t>Feedback for Priority Area 4: People who use violence</w:t>
      </w:r>
    </w:p>
    <w:p w14:paraId="6F8E625E" w14:textId="2C3CA480" w:rsidR="006A12FD" w:rsidRDefault="006A12FD" w:rsidP="006A12FD">
      <w:r>
        <w:t xml:space="preserve">A National Framework that Differentiates PUV Responses </w:t>
      </w:r>
    </w:p>
    <w:p w14:paraId="49D93B35" w14:textId="2D7F803E" w:rsidR="006A12FD" w:rsidRDefault="006A12FD" w:rsidP="006A12FD">
      <w:r>
        <w:t>Current responses can treat PUVs as a homogenous group, despite significant differences in needs, risks and pathways into violence.</w:t>
      </w:r>
    </w:p>
    <w:p w14:paraId="688B2024" w14:textId="0F6797C7" w:rsidR="006A12FD" w:rsidRDefault="006A12FD" w:rsidP="006A12FD">
      <w:r>
        <w:t>This approach weakens accountability, engagement and long-term safety.</w:t>
      </w:r>
    </w:p>
    <w:p w14:paraId="52790830" w14:textId="14366B30" w:rsidR="006A12FD" w:rsidRDefault="006A12FD" w:rsidP="006A12FD">
      <w:r>
        <w:t>PUVs differ in culture, language, age, offending patterns, trauma, incarceration and substance use histories, and neurological or cognitive needs.</w:t>
      </w:r>
    </w:p>
    <w:p w14:paraId="00A2C8F1" w14:textId="06BAC544" w:rsidR="006A12FD" w:rsidRDefault="006A12FD" w:rsidP="006A12FD">
      <w:r>
        <w:t>Effective responses must therefore tailor therapeutic approaches, risk management, accountability, engagement and outcome measures to individual needs and risk.</w:t>
      </w:r>
    </w:p>
    <w:p w14:paraId="1EF0C29C" w14:textId="462E775A" w:rsidR="006A12FD" w:rsidRDefault="006A12FD" w:rsidP="006A12FD">
      <w:r>
        <w:t>Community-based behaviour change</w:t>
      </w:r>
    </w:p>
    <w:p w14:paraId="1AD0F01E" w14:textId="7FA593A1" w:rsidR="006A12FD" w:rsidRDefault="006A12FD" w:rsidP="006A12FD">
      <w:r>
        <w:t>Whether self-referred or directed through formal pathways, participants need a coordinated service model that responds to practical, therapeutic and safety needs throughout engagement and after program completion.</w:t>
      </w:r>
    </w:p>
    <w:p w14:paraId="5C986359" w14:textId="77777777" w:rsidR="006A12FD" w:rsidRDefault="006A12FD" w:rsidP="006A12FD">
      <w:r>
        <w:t>•</w:t>
      </w:r>
      <w:r>
        <w:tab/>
        <w:t xml:space="preserve">Psychoeducation and therapeutic intervention that </w:t>
      </w:r>
      <w:proofErr w:type="spellStart"/>
      <w:r>
        <w:t>compliment</w:t>
      </w:r>
      <w:proofErr w:type="spellEnd"/>
      <w:r>
        <w:t xml:space="preserve"> each other, rather than be offered as singular options – from our experience, men who are engaged in trauma therapy or other relevant programs before or whilst attending a Men’s Behaviour Change program progress at a significantly higher rate than their peers. </w:t>
      </w:r>
    </w:p>
    <w:p w14:paraId="5D282CDD" w14:textId="77777777" w:rsidR="006A12FD" w:rsidRDefault="006A12FD" w:rsidP="006A12FD">
      <w:r>
        <w:t>•</w:t>
      </w:r>
      <w:r>
        <w:tab/>
        <w:t xml:space="preserve">Case management and, where needed, residential support – for example, funded residential programs that provide holistic, 24hr support for several weeks at a time, allowing PUVs to heal, build insight, develop tools for safe relating, whilst being unable to breach intervention orders and pose threats to their families, giving AFMs time to also heal and recover. Such services must also consider a thorough reintegration approach for men exiting the program with safety and whole-of-family consent for reconnection being central. </w:t>
      </w:r>
    </w:p>
    <w:p w14:paraId="694E0AD3" w14:textId="77777777" w:rsidR="006A12FD" w:rsidRDefault="006A12FD" w:rsidP="006A12FD">
      <w:r>
        <w:lastRenderedPageBreak/>
        <w:t>•</w:t>
      </w:r>
      <w:r>
        <w:tab/>
        <w:t>Trauma-responsive, shame-sensitive accountability – this requires advanced workforce development for family violence workers, private therapists, child protection workers and other professionals that might engage with impacted families.</w:t>
      </w:r>
    </w:p>
    <w:p w14:paraId="72023A1C" w14:textId="77777777" w:rsidR="006A12FD" w:rsidRDefault="006A12FD" w:rsidP="006A12FD">
      <w:r>
        <w:t>•</w:t>
      </w:r>
      <w:r>
        <w:tab/>
        <w:t>Culturally responsive and individually tailored support – for example, bicultural practitioners, interpreters and adaptations for cognitive, disability or substance-use needs; and</w:t>
      </w:r>
    </w:p>
    <w:p w14:paraId="5897A748" w14:textId="1D308B88" w:rsidR="006A12FD" w:rsidRDefault="006A12FD" w:rsidP="006A12FD">
      <w:r>
        <w:t>•</w:t>
      </w:r>
      <w:r>
        <w:tab/>
        <w:t xml:space="preserve">ongoing support to sustain behaviour change after program completion – for example, follow-up counselling, peer support groups </w:t>
      </w:r>
      <w:proofErr w:type="gramStart"/>
      <w:r>
        <w:t>similar to</w:t>
      </w:r>
      <w:proofErr w:type="gramEnd"/>
      <w:r>
        <w:t xml:space="preserve"> AA / NA model, risk reviews and re-entry pathways.</w:t>
      </w:r>
    </w:p>
    <w:p w14:paraId="1338BFBC" w14:textId="6A65A0B1" w:rsidR="006A12FD" w:rsidRDefault="006A12FD" w:rsidP="006A12FD">
      <w:r>
        <w:t>Trauma, Shame and Healing Central to Behaviour Change</w:t>
      </w:r>
    </w:p>
    <w:p w14:paraId="08A88C5B" w14:textId="57D2A0A8" w:rsidR="006A12FD" w:rsidRDefault="006A12FD" w:rsidP="006A12FD">
      <w:r>
        <w:t>PUVs may have histories of complex trauma, attachment disruption and entrenched shame. Assessing these factors does not excuse violence; it enables interventions to address relevant drivers while maintaining accountability.</w:t>
      </w:r>
    </w:p>
    <w:p w14:paraId="0A1A921B" w14:textId="466A3E9F" w:rsidR="006A12FD" w:rsidRDefault="006A12FD" w:rsidP="006A12FD">
      <w:r>
        <w:t>Punishment alone cannot build emotional regulation, healthy relationships or sustained non-violent behaviour. Effective intervention must combine clear accountability with trauma-responsive, shame-sensitive therapeutic support.</w:t>
      </w:r>
    </w:p>
    <w:p w14:paraId="673F066A" w14:textId="74F141AF" w:rsidR="006A12FD" w:rsidRDefault="006A12FD" w:rsidP="006A12FD">
      <w:r>
        <w:t>Lasting behaviour change requires engagement that is:</w:t>
      </w:r>
    </w:p>
    <w:p w14:paraId="77E5F788" w14:textId="77777777" w:rsidR="006A12FD" w:rsidRDefault="006A12FD" w:rsidP="006A12FD">
      <w:r>
        <w:t>•</w:t>
      </w:r>
      <w:r>
        <w:tab/>
        <w:t>trauma-responsive and shame-sensitive;</w:t>
      </w:r>
    </w:p>
    <w:p w14:paraId="4C56133E" w14:textId="77777777" w:rsidR="006A12FD" w:rsidRDefault="006A12FD" w:rsidP="006A12FD">
      <w:r>
        <w:t>•</w:t>
      </w:r>
      <w:r>
        <w:tab/>
        <w:t>motivational and reflective;</w:t>
      </w:r>
    </w:p>
    <w:p w14:paraId="1D2D0EA9" w14:textId="77777777" w:rsidR="006A12FD" w:rsidRDefault="006A12FD" w:rsidP="006A12FD">
      <w:r>
        <w:t>•</w:t>
      </w:r>
      <w:r>
        <w:tab/>
        <w:t>relationally accountability; and</w:t>
      </w:r>
    </w:p>
    <w:p w14:paraId="3F135515" w14:textId="6671D44D" w:rsidR="006A12FD" w:rsidRDefault="006A12FD" w:rsidP="006A12FD">
      <w:r>
        <w:t>•</w:t>
      </w:r>
      <w:r>
        <w:tab/>
        <w:t>meaningful opportunities for responsibility and repair.</w:t>
      </w:r>
    </w:p>
    <w:p w14:paraId="08CEFE10" w14:textId="77777777" w:rsidR="006A12FD" w:rsidRDefault="006A12FD" w:rsidP="006A12FD">
      <w:r>
        <w:t>The current system often prioritises punitive responses over therapeutic and community-based interventions, including effective for-purpose services outside government funding streams. This imbalance can drive disengagement and weaken the prospects of enduring change.</w:t>
      </w:r>
    </w:p>
    <w:p w14:paraId="6E326A93" w14:textId="594AEAEE" w:rsidR="006A12FD" w:rsidRPr="006A12FD" w:rsidRDefault="006A12FD" w:rsidP="006A12FD">
      <w:pPr>
        <w:rPr>
          <w:b/>
          <w:bCs/>
        </w:rPr>
      </w:pPr>
      <w:r w:rsidRPr="006A12FD">
        <w:rPr>
          <w:b/>
          <w:bCs/>
        </w:rPr>
        <w:t>Feedback for Priority Area 5: System Integration and Workforce</w:t>
      </w:r>
    </w:p>
    <w:p w14:paraId="077204DD" w14:textId="2A238AF2" w:rsidR="006A12FD" w:rsidRDefault="006A12FD" w:rsidP="006A12FD">
      <w:r>
        <w:t>Integrating justice, health, therapeutic and community responses is therefore essential to strengthen accountability, reduce repeat violence and improve long-term community safety.</w:t>
      </w:r>
    </w:p>
    <w:p w14:paraId="4956BB20" w14:textId="309641A1" w:rsidR="006A12FD" w:rsidRDefault="006A12FD" w:rsidP="006A12FD">
      <w:r>
        <w:t>The Second Action Plan should:</w:t>
      </w:r>
    </w:p>
    <w:p w14:paraId="1F5587A7" w14:textId="77777777" w:rsidR="006A12FD" w:rsidRDefault="006A12FD" w:rsidP="006A12FD">
      <w:r>
        <w:t>•</w:t>
      </w:r>
      <w:r>
        <w:tab/>
        <w:t>mandate trauma-responsive and shame-sensitive practice standards for all PUV interventions – for example, screening for trauma and shame triggers, de-escalation protocols and individual engagement plans; ensure practitioners are adequately trained to work effectively with trauma and shame;</w:t>
      </w:r>
    </w:p>
    <w:p w14:paraId="2F41E105" w14:textId="77777777" w:rsidR="006A12FD" w:rsidRDefault="006A12FD" w:rsidP="006A12FD">
      <w:r>
        <w:lastRenderedPageBreak/>
        <w:t>•</w:t>
      </w:r>
      <w:r>
        <w:tab/>
        <w:t>expand access to evidence-informed community behaviour change and therapeutic programs – for example, individual counselling, group programs and post-program support delivered in person and online;</w:t>
      </w:r>
    </w:p>
    <w:p w14:paraId="0D623E02" w14:textId="77777777" w:rsidR="006A12FD" w:rsidRDefault="006A12FD" w:rsidP="006A12FD">
      <w:r>
        <w:t>•</w:t>
      </w:r>
      <w:r>
        <w:tab/>
        <w:t>integrate therapeutic pathways with enforceable accountability measures – for example, court-monitored treatment plans, regular risk reviews and coordinated family-safety checks;</w:t>
      </w:r>
    </w:p>
    <w:p w14:paraId="0CF18741" w14:textId="77777777" w:rsidR="006A12FD" w:rsidRDefault="006A12FD" w:rsidP="006A12FD">
      <w:r>
        <w:t>•</w:t>
      </w:r>
      <w:r>
        <w:tab/>
        <w:t>strengthen referral pathways across corrections, health and community services – for example, warm referrals, shared case plans and timely handovers after release or program completion, as well as reinstating community corrections-specific programs across all states and territories; and</w:t>
      </w:r>
    </w:p>
    <w:p w14:paraId="28DE88C1" w14:textId="77777777" w:rsidR="006A12FD" w:rsidRDefault="006A12FD" w:rsidP="006A12FD">
      <w:r>
        <w:t>•</w:t>
      </w:r>
      <w:r>
        <w:tab/>
        <w:t>invest in specialist workforce capability – for example, accredited training in trauma, shame, coercive control and the Homicide Timeline, supported by advanced group-facilitation training and regular, mandated, external clinical supervision.</w:t>
      </w:r>
    </w:p>
    <w:p w14:paraId="17713F58" w14:textId="77777777" w:rsidR="006A12FD" w:rsidRDefault="006A12FD" w:rsidP="006A12FD">
      <w:r>
        <w:t>•</w:t>
      </w:r>
      <w:r>
        <w:tab/>
        <w:t>provide more diverse pathways for workforce development rather than limiting options to a handful of funded providers nationwide.</w:t>
      </w:r>
    </w:p>
    <w:p w14:paraId="51F7DA51" w14:textId="562A1A11" w:rsidR="006A12FD" w:rsidRPr="006A12FD" w:rsidRDefault="006A12FD" w:rsidP="006A12FD">
      <w:pPr>
        <w:rPr>
          <w:b/>
        </w:rPr>
      </w:pPr>
      <w:r w:rsidRPr="006A12FD">
        <w:rPr>
          <w:b/>
        </w:rPr>
        <w:t>Are there any other actions you think should be a priority to stop family, domestic and sexual violence?</w:t>
      </w:r>
    </w:p>
    <w:p w14:paraId="02C5DD75" w14:textId="2836EEF2" w:rsidR="006A12FD" w:rsidRDefault="006A12FD" w:rsidP="006A12FD">
      <w:r>
        <w:t>We would like to reiterate the value of considering the following:</w:t>
      </w:r>
    </w:p>
    <w:p w14:paraId="7BCD9277" w14:textId="77777777" w:rsidR="006A12FD" w:rsidRDefault="006A12FD" w:rsidP="006A12FD">
      <w:r>
        <w:t>- persons who use violence also need healing</w:t>
      </w:r>
    </w:p>
    <w:p w14:paraId="1878CB95" w14:textId="77777777" w:rsidR="006A12FD" w:rsidRDefault="006A12FD" w:rsidP="006A12FD">
      <w:r>
        <w:t>- trauma and shame knowledge and expertise must underpin ALL intervention, including justice and legal proceedings</w:t>
      </w:r>
    </w:p>
    <w:p w14:paraId="6D26D058" w14:textId="77777777" w:rsidR="006A12FD" w:rsidRDefault="006A12FD" w:rsidP="006A12FD">
      <w:r>
        <w:t>- antiracist frameworks must be adopted across all policies and program design and delivery</w:t>
      </w:r>
    </w:p>
    <w:p w14:paraId="235291CD" w14:textId="5E797B8D" w:rsidR="006A12FD" w:rsidRPr="006A12FD" w:rsidRDefault="006A12FD" w:rsidP="006A12FD">
      <w:r>
        <w:t>- residential programs for men who use violence must be investigated above incarceration and implemented nationally with proper resourcing and safety for families at the core.</w:t>
      </w:r>
    </w:p>
    <w:sectPr w:rsidR="006A12FD" w:rsidRPr="006A12F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2FD"/>
    <w:rsid w:val="00022A23"/>
    <w:rsid w:val="0023679E"/>
    <w:rsid w:val="006A12FD"/>
    <w:rsid w:val="00BC57AD"/>
    <w:rsid w:val="00D807DD"/>
    <w:rsid w:val="00E74AB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44637E"/>
  <w15:chartTrackingRefBased/>
  <w15:docId w15:val="{297707BE-35C7-4E5D-B610-05F04916A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A12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A12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A12F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A12F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A12F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A12F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A12F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A12F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A12F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12F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A12F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A12F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A12F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A12F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A12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A12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A12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A12FD"/>
    <w:rPr>
      <w:rFonts w:eastAsiaTheme="majorEastAsia" w:cstheme="majorBidi"/>
      <w:color w:val="272727" w:themeColor="text1" w:themeTint="D8"/>
    </w:rPr>
  </w:style>
  <w:style w:type="paragraph" w:styleId="Title">
    <w:name w:val="Title"/>
    <w:basedOn w:val="Normal"/>
    <w:next w:val="Normal"/>
    <w:link w:val="TitleChar"/>
    <w:uiPriority w:val="10"/>
    <w:qFormat/>
    <w:rsid w:val="006A12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A12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A12F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A12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A12FD"/>
    <w:pPr>
      <w:spacing w:before="160"/>
      <w:jc w:val="center"/>
    </w:pPr>
    <w:rPr>
      <w:i/>
      <w:iCs/>
      <w:color w:val="404040" w:themeColor="text1" w:themeTint="BF"/>
    </w:rPr>
  </w:style>
  <w:style w:type="character" w:customStyle="1" w:styleId="QuoteChar">
    <w:name w:val="Quote Char"/>
    <w:basedOn w:val="DefaultParagraphFont"/>
    <w:link w:val="Quote"/>
    <w:uiPriority w:val="29"/>
    <w:rsid w:val="006A12FD"/>
    <w:rPr>
      <w:i/>
      <w:iCs/>
      <w:color w:val="404040" w:themeColor="text1" w:themeTint="BF"/>
    </w:rPr>
  </w:style>
  <w:style w:type="paragraph" w:styleId="ListParagraph">
    <w:name w:val="List Paragraph"/>
    <w:basedOn w:val="Normal"/>
    <w:uiPriority w:val="34"/>
    <w:qFormat/>
    <w:rsid w:val="006A12FD"/>
    <w:pPr>
      <w:ind w:left="720"/>
      <w:contextualSpacing/>
    </w:pPr>
  </w:style>
  <w:style w:type="character" w:styleId="IntenseEmphasis">
    <w:name w:val="Intense Emphasis"/>
    <w:basedOn w:val="DefaultParagraphFont"/>
    <w:uiPriority w:val="21"/>
    <w:qFormat/>
    <w:rsid w:val="006A12FD"/>
    <w:rPr>
      <w:i/>
      <w:iCs/>
      <w:color w:val="0F4761" w:themeColor="accent1" w:themeShade="BF"/>
    </w:rPr>
  </w:style>
  <w:style w:type="paragraph" w:styleId="IntenseQuote">
    <w:name w:val="Intense Quote"/>
    <w:basedOn w:val="Normal"/>
    <w:next w:val="Normal"/>
    <w:link w:val="IntenseQuoteChar"/>
    <w:uiPriority w:val="30"/>
    <w:qFormat/>
    <w:rsid w:val="006A12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A12FD"/>
    <w:rPr>
      <w:i/>
      <w:iCs/>
      <w:color w:val="0F4761" w:themeColor="accent1" w:themeShade="BF"/>
    </w:rPr>
  </w:style>
  <w:style w:type="character" w:styleId="IntenseReference">
    <w:name w:val="Intense Reference"/>
    <w:basedOn w:val="DefaultParagraphFont"/>
    <w:uiPriority w:val="32"/>
    <w:qFormat/>
    <w:rsid w:val="006A12F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7776D50AC9C9429F45CBB78018DFD0" ma:contentTypeVersion="12" ma:contentTypeDescription="Create a new document." ma:contentTypeScope="" ma:versionID="192e16d54d8f8d8b186a1c50e658e80b">
  <xsd:schema xmlns:xsd="http://www.w3.org/2001/XMLSchema" xmlns:xs="http://www.w3.org/2001/XMLSchema" xmlns:p="http://schemas.microsoft.com/office/2006/metadata/properties" xmlns:ns2="998e874f-9f92-475f-aa86-16aa745540d3" xmlns:ns3="dd68a603-366f-42c7-8d1c-7821293e08bc" targetNamespace="http://schemas.microsoft.com/office/2006/metadata/properties" ma:root="true" ma:fieldsID="ac86a9c799595bd6f56260cf530be251" ns2:_="" ns3:_="">
    <xsd:import namespace="998e874f-9f92-475f-aa86-16aa745540d3"/>
    <xsd:import namespace="dd68a603-366f-42c7-8d1c-7821293e08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e874f-9f92-475f-aa86-16aa745540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Notes" ma:index="18" nillable="true" ma:displayName="Notes" ma:format="Dropdown" ma:internalName="Notes">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8a603-366f-42c7-8d1c-7821293e08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ad170-5dd1-49f8-a2ff-c9ad3b912813}" ma:internalName="TaxCatchAll" ma:showField="CatchAllData" ma:web="dd68a603-366f-42c7-8d1c-7821293e0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998e874f-9f92-475f-aa86-16aa745540d3" xsi:nil="true"/>
    <TaxCatchAll xmlns="dd68a603-366f-42c7-8d1c-7821293e08bc" xsi:nil="true"/>
    <lcf76f155ced4ddcb4097134ff3c332f xmlns="998e874f-9f92-475f-aa86-16aa745540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DB16703-4EAA-4BC9-BF27-2FB5A40E7EF0}"/>
</file>

<file path=customXml/itemProps2.xml><?xml version="1.0" encoding="utf-8"?>
<ds:datastoreItem xmlns:ds="http://schemas.openxmlformats.org/officeDocument/2006/customXml" ds:itemID="{B6F4C6E8-9AB7-408C-9AD8-7506DD4392A5}"/>
</file>

<file path=customXml/itemProps3.xml><?xml version="1.0" encoding="utf-8"?>
<ds:datastoreItem xmlns:ds="http://schemas.openxmlformats.org/officeDocument/2006/customXml" ds:itemID="{5DF66827-53D9-4375-BC5C-01C5B677AB30}"/>
</file>

<file path=docProps/app.xml><?xml version="1.0" encoding="utf-8"?>
<Properties xmlns="http://schemas.openxmlformats.org/officeDocument/2006/extended-properties" xmlns:vt="http://schemas.openxmlformats.org/officeDocument/2006/docPropsVTypes">
  <Template>Normal.dotm</Template>
  <TotalTime>2</TotalTime>
  <Pages>5</Pages>
  <Words>1579</Words>
  <Characters>9004</Characters>
  <Application>Microsoft Office Word</Application>
  <DocSecurity>0</DocSecurity>
  <Lines>75</Lines>
  <Paragraphs>21</Paragraphs>
  <ScaleCrop>false</ScaleCrop>
  <Company/>
  <LinksUpToDate>false</LinksUpToDate>
  <CharactersWithSpaces>10562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BROOME, Lily</dc:creator>
  <cp:keywords/>
  <dc:description/>
  <cp:lastModifiedBy>BROOME, Lily</cp:lastModifiedBy>
  <cp:revision>1</cp:revision>
  <dcterms:created xsi:type="dcterms:W3CDTF">2026-09-07T01:09:00Z</dcterms:created>
  <dcterms:modified xsi:type="dcterms:W3CDTF">2026-09-07T01:11:00Z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0x010100FB7776D50AC9C9429F45CBB78018DFD0</vt:lpwstr>
  </property>
</Properties>
</file>