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2511685"/>
    <w:p w14:paraId="7463548F" w14:textId="6EA8A913" w:rsidR="00A43CC3" w:rsidRDefault="00A43CC3" w:rsidP="00B10E94">
      <w:pPr>
        <w:rPr>
          <w:b/>
          <w:bCs/>
          <w:sz w:val="32"/>
          <w:szCs w:val="32"/>
        </w:rPr>
      </w:pPr>
      <w:r w:rsidRPr="00015179">
        <w:rPr>
          <w:b/>
          <w:bCs/>
          <w:sz w:val="32"/>
          <w:szCs w:val="32"/>
        </w:rPr>
        <w:fldChar w:fldCharType="begin"/>
      </w:r>
      <w:r w:rsidRPr="00015179">
        <w:rPr>
          <w:b/>
          <w:bCs/>
          <w:sz w:val="32"/>
          <w:szCs w:val="32"/>
        </w:rPr>
        <w:instrText>HYPERLINK "https://engage.dss.gov.au/second-action-plan/"</w:instrText>
      </w:r>
      <w:r w:rsidRPr="00015179">
        <w:rPr>
          <w:b/>
          <w:bCs/>
          <w:sz w:val="32"/>
          <w:szCs w:val="32"/>
        </w:rPr>
      </w:r>
      <w:r w:rsidRPr="00015179">
        <w:rPr>
          <w:b/>
          <w:bCs/>
          <w:sz w:val="32"/>
          <w:szCs w:val="32"/>
        </w:rPr>
        <w:fldChar w:fldCharType="separate"/>
      </w:r>
      <w:r w:rsidRPr="00015179">
        <w:rPr>
          <w:b/>
          <w:bCs/>
          <w:sz w:val="32"/>
          <w:szCs w:val="32"/>
        </w:rPr>
        <w:t>Consultation on the Second Action Plan (National Plan to End Violence against Women and Children 2022–2032)</w:t>
      </w:r>
      <w:r w:rsidRPr="00015179">
        <w:rPr>
          <w:b/>
          <w:bCs/>
          <w:sz w:val="32"/>
          <w:szCs w:val="32"/>
        </w:rPr>
        <w:fldChar w:fldCharType="end"/>
      </w:r>
    </w:p>
    <w:p w14:paraId="3C0BD93A" w14:textId="63B5BE0E" w:rsidR="00015179" w:rsidRPr="00015179" w:rsidRDefault="00015179" w:rsidP="00B10E94">
      <w:pPr>
        <w:rPr>
          <w:sz w:val="32"/>
          <w:szCs w:val="32"/>
        </w:rPr>
      </w:pPr>
      <w:r>
        <w:rPr>
          <w:sz w:val="32"/>
          <w:szCs w:val="32"/>
        </w:rPr>
        <w:t>Justice Health and Forensic Mental Health Network</w:t>
      </w:r>
      <w:r w:rsidR="00205E51">
        <w:rPr>
          <w:sz w:val="32"/>
          <w:szCs w:val="32"/>
        </w:rPr>
        <w:t>, NSW Health</w:t>
      </w:r>
    </w:p>
    <w:p w14:paraId="663DBACB" w14:textId="77777777" w:rsidR="00015179" w:rsidRPr="00015179" w:rsidRDefault="00015179" w:rsidP="00015179">
      <w:pPr>
        <w:rPr>
          <w:b/>
          <w:bCs/>
        </w:rPr>
      </w:pPr>
      <w:r w:rsidRPr="00015179">
        <w:rPr>
          <w:b/>
          <w:bCs/>
        </w:rPr>
        <w:t>Executive Summary</w:t>
      </w:r>
    </w:p>
    <w:p w14:paraId="6933DEED" w14:textId="77777777" w:rsidR="00015179" w:rsidRPr="00015179" w:rsidRDefault="00015179" w:rsidP="00015179">
      <w:r w:rsidRPr="00015179">
        <w:t>Justice Health NSW welcomes the opportunity to provide feedback on the Second Action Plan under the National Plan to End Violence against Women and Children 2022–2032.</w:t>
      </w:r>
    </w:p>
    <w:p w14:paraId="05FC1A7E" w14:textId="77777777" w:rsidR="00015179" w:rsidRPr="00015179" w:rsidRDefault="00015179" w:rsidP="00015179">
      <w:r w:rsidRPr="00015179">
        <w:t>As a public health service operating across correctional centres, courts and community forensic settings, Justice Health NSW works with populations who experience disproportionately high rates of domestic, family and sexual violence (DFSV), childhood trauma, mental illness, substance use disorders, disability, social disadvantage and justice involvement. Through this role, Justice Health NSW has a unique perspective on the intersection of violence, trauma, health inequities and pathways into the criminal justice system.</w:t>
      </w:r>
    </w:p>
    <w:p w14:paraId="339118EF" w14:textId="77777777" w:rsidR="00015179" w:rsidRPr="00015179" w:rsidRDefault="00015179" w:rsidP="00015179">
      <w:r w:rsidRPr="00015179">
        <w:t>A key gap in current policy is the limited recognition of custodial healthcare settings within Australia's broader DFSV response, prevention and recovery systems. While health services are increasingly recognised as critical partners in addressing violence against women and children, custodial health services are not consistently reflected in policy, implementation, workforce development, service planning or evaluation frameworks. This omission risks overlooking some of Australia's most marginalised victim-survivors, many of whom have experienced significant barriers to accessing support prior to entering custody.</w:t>
      </w:r>
    </w:p>
    <w:p w14:paraId="60765566" w14:textId="77777777" w:rsidR="00015179" w:rsidRPr="00015179" w:rsidRDefault="00015179" w:rsidP="00015179">
      <w:r w:rsidRPr="00015179">
        <w:t>Custodial health services provide an important opportunity to identify victim-survivors, respond to the health impacts of violence, facilitate referral to specialist supports and promote continuity of care. They also provide valuable insights into the relationship between violence, trauma, health inequities and justice involvement, contributing evidence that can strengthen national policy and reform efforts.</w:t>
      </w:r>
    </w:p>
    <w:p w14:paraId="36B71C52" w14:textId="77777777" w:rsidR="00015179" w:rsidRPr="00015179" w:rsidRDefault="00015179" w:rsidP="00015179">
      <w:r w:rsidRPr="00015179">
        <w:t>Justice Health NSW recommends that the Second Action Plan prioritise the following areas:</w:t>
      </w:r>
    </w:p>
    <w:p w14:paraId="29C64FB4" w14:textId="77777777" w:rsidR="00015179" w:rsidRPr="00015179" w:rsidRDefault="00015179" w:rsidP="00015179">
      <w:pPr>
        <w:rPr>
          <w:b/>
          <w:bCs/>
        </w:rPr>
      </w:pPr>
      <w:r w:rsidRPr="00015179">
        <w:rPr>
          <w:b/>
          <w:bCs/>
        </w:rPr>
        <w:t>1. Recognise custodial health services as a critical partner in DFSV prevention, response and recovery</w:t>
      </w:r>
    </w:p>
    <w:p w14:paraId="37EC8508" w14:textId="77777777" w:rsidR="00015179" w:rsidRPr="00015179" w:rsidRDefault="00015179" w:rsidP="00015179">
      <w:r w:rsidRPr="00015179">
        <w:t xml:space="preserve">Custodial health services should be explicitly recognised within national DFSV policy and reform initiatives. These services contribute to early identification of victim-survivors, trauma-informed healthcare, prevention and early intervention, supported referral, continuity of care and long-term recovery. Recognition within the broader </w:t>
      </w:r>
      <w:r w:rsidRPr="00015179">
        <w:lastRenderedPageBreak/>
        <w:t>service system would help ensure that people in custody are not excluded from national reform efforts.</w:t>
      </w:r>
    </w:p>
    <w:p w14:paraId="07B8592E" w14:textId="77777777" w:rsidR="00015179" w:rsidRPr="00015179" w:rsidRDefault="00015179" w:rsidP="00015179">
      <w:pPr>
        <w:rPr>
          <w:b/>
          <w:bCs/>
        </w:rPr>
      </w:pPr>
      <w:r w:rsidRPr="00015179">
        <w:rPr>
          <w:b/>
          <w:bCs/>
        </w:rPr>
        <w:t>2. Strengthen trauma-informed, culturally safe and gender-responsive healthcare responses</w:t>
      </w:r>
    </w:p>
    <w:p w14:paraId="4641E1F3" w14:textId="77777777" w:rsidR="00015179" w:rsidRPr="00015179" w:rsidRDefault="00015179" w:rsidP="00015179">
      <w:r w:rsidRPr="00015179">
        <w:t>Investment is needed to strengthen workforce capability, specialist clinical pathways, safe enquiry regarding experiences of violence, embedded specialist expertise and culturally safe models of care. Responses must be accessible and responsive to Aboriginal and Torres Strait Islander peoples, people with disability, culturally and linguistically diverse communities, and others experiencing multiple and intersecting forms of disadvantage.</w:t>
      </w:r>
    </w:p>
    <w:p w14:paraId="6885EF82" w14:textId="77777777" w:rsidR="00015179" w:rsidRPr="00015179" w:rsidRDefault="00015179" w:rsidP="00015179">
      <w:pPr>
        <w:rPr>
          <w:b/>
          <w:bCs/>
        </w:rPr>
      </w:pPr>
      <w:r w:rsidRPr="00015179">
        <w:rPr>
          <w:b/>
          <w:bCs/>
        </w:rPr>
        <w:t>3. Improve continuity of care through integrated and coordinated service models</w:t>
      </w:r>
    </w:p>
    <w:p w14:paraId="75422BF5" w14:textId="77777777" w:rsidR="00015179" w:rsidRPr="00015179" w:rsidRDefault="00015179" w:rsidP="00015179">
      <w:r w:rsidRPr="00015179">
        <w:t>Transitions into and out of custody are periods of heightened vulnerability. Stronger partnerships and referral pathways between custodial health services, specialist DFSV services, Aboriginal Community Controlled Organisations, housing providers, mental health services, alcohol and other drug services and community health providers are essential to improving safety, recovery and long-term wellbeing.</w:t>
      </w:r>
    </w:p>
    <w:p w14:paraId="069D5F20" w14:textId="77777777" w:rsidR="00015179" w:rsidRPr="00015179" w:rsidRDefault="00015179" w:rsidP="00015179">
      <w:pPr>
        <w:rPr>
          <w:b/>
          <w:bCs/>
        </w:rPr>
      </w:pPr>
      <w:r w:rsidRPr="00015179">
        <w:rPr>
          <w:b/>
          <w:bCs/>
        </w:rPr>
        <w:t>4. Strengthen workforce capability, system integration and evidence generation</w:t>
      </w:r>
    </w:p>
    <w:p w14:paraId="5E5711AF" w14:textId="77777777" w:rsidR="00015179" w:rsidRPr="00015179" w:rsidRDefault="00015179" w:rsidP="00015179">
      <w:r w:rsidRPr="00015179">
        <w:t>Nationally consistent education, clinical practice standards, integrated care pathways and improved information sharing are needed to support coordinated responses across health, justice and community sectors. Greater investment in implementation research and evaluation, including evidence generated through custodial health services, would strengthen understanding of effective responses for populations experiencing complex trauma, health inequities and justice involvement.</w:t>
      </w:r>
    </w:p>
    <w:p w14:paraId="4D4E5638" w14:textId="77777777" w:rsidR="00015179" w:rsidRPr="00015179" w:rsidRDefault="00015179" w:rsidP="00015179">
      <w:r w:rsidRPr="00015179">
        <w:t>Particular attention should be given to groups that experience multiple and intersecting forms of disadvantage, including Aboriginal and Torres Strait Islander peoples, children affected by parental incarceration, justice-involved young people and individuals with complex trauma, mental illness, disability and substance use disorders.</w:t>
      </w:r>
    </w:p>
    <w:p w14:paraId="514E6E8C" w14:textId="77777777" w:rsidR="00015179" w:rsidRPr="00015179" w:rsidRDefault="00015179" w:rsidP="00015179">
      <w:r w:rsidRPr="00015179">
        <w:t>To achieve the National Plan's vision of safety, healing and recovery for all victim-survivors, national reform efforts must include populations and settings that have historically been overlooked. Explicit recognition of custodial health services as part of Australia's DFSV response system would strengthen prevention, improve access to support, enhance continuity of care and help ensure that no victim-survivor is left behind.</w:t>
      </w:r>
    </w:p>
    <w:p w14:paraId="30AC3E5F" w14:textId="48F3C048" w:rsidR="00015179" w:rsidRDefault="00015179" w:rsidP="00015179">
      <w:pPr>
        <w:rPr>
          <w:b/>
          <w:bCs/>
        </w:rPr>
      </w:pPr>
    </w:p>
    <w:bookmarkEnd w:id="0"/>
    <w:p w14:paraId="33B70765" w14:textId="77777777" w:rsidR="00015179" w:rsidRDefault="00015179">
      <w:pPr>
        <w:rPr>
          <w:b/>
          <w:bCs/>
          <w:sz w:val="28"/>
          <w:szCs w:val="28"/>
        </w:rPr>
      </w:pPr>
      <w:r>
        <w:rPr>
          <w:b/>
          <w:bCs/>
          <w:sz w:val="28"/>
          <w:szCs w:val="28"/>
        </w:rPr>
        <w:br w:type="page"/>
      </w:r>
    </w:p>
    <w:p w14:paraId="392FB64A" w14:textId="7D6C02DE" w:rsidR="00B10E94" w:rsidRPr="00B532A7" w:rsidRDefault="00B10E94" w:rsidP="00B10E94">
      <w:pPr>
        <w:rPr>
          <w:b/>
          <w:bCs/>
          <w:sz w:val="28"/>
          <w:szCs w:val="28"/>
        </w:rPr>
      </w:pPr>
      <w:r w:rsidRPr="00B532A7">
        <w:rPr>
          <w:b/>
          <w:bCs/>
          <w:sz w:val="28"/>
          <w:szCs w:val="28"/>
        </w:rPr>
        <w:lastRenderedPageBreak/>
        <w:t>Priority Area 1: Victim-survivors</w:t>
      </w:r>
    </w:p>
    <w:p w14:paraId="7671184F" w14:textId="77777777" w:rsidR="00B10E94" w:rsidRPr="00B532A7" w:rsidRDefault="00B10E94" w:rsidP="00B10E94">
      <w:pPr>
        <w:rPr>
          <w:b/>
          <w:bCs/>
        </w:rPr>
      </w:pPr>
      <w:r w:rsidRPr="00B532A7">
        <w:rPr>
          <w:b/>
          <w:bCs/>
        </w:rPr>
        <w:t>When providing your feedback on this area, you might like to consider:</w:t>
      </w:r>
    </w:p>
    <w:p w14:paraId="6BBE9053" w14:textId="77777777" w:rsidR="00B10E94" w:rsidRPr="00B532A7" w:rsidRDefault="00B10E94" w:rsidP="00B10E94">
      <w:pPr>
        <w:numPr>
          <w:ilvl w:val="0"/>
          <w:numId w:val="1"/>
        </w:numPr>
        <w:rPr>
          <w:b/>
          <w:bCs/>
        </w:rPr>
      </w:pPr>
      <w:r w:rsidRPr="00B532A7">
        <w:rPr>
          <w:b/>
          <w:bCs/>
        </w:rPr>
        <w:t>What service or system responses would make the biggest difference to victim-survivors’ safety, wellbeing, healing and recovery?</w:t>
      </w:r>
    </w:p>
    <w:p w14:paraId="08B3A349" w14:textId="77777777" w:rsidR="00B10E94" w:rsidRPr="00B532A7" w:rsidRDefault="00B10E94" w:rsidP="00B10E94">
      <w:pPr>
        <w:numPr>
          <w:ilvl w:val="0"/>
          <w:numId w:val="1"/>
        </w:numPr>
        <w:rPr>
          <w:b/>
          <w:bCs/>
        </w:rPr>
      </w:pPr>
      <w:r w:rsidRPr="00B532A7">
        <w:rPr>
          <w:b/>
          <w:bCs/>
        </w:rPr>
        <w:t>What helps people access support earlier, and what barriers prevent people from seeking help or engaging with systems and services?</w:t>
      </w:r>
    </w:p>
    <w:p w14:paraId="6E8BE6FB" w14:textId="77777777" w:rsidR="00B10E94" w:rsidRPr="00B532A7" w:rsidRDefault="00B10E94" w:rsidP="00B10E94">
      <w:pPr>
        <w:numPr>
          <w:ilvl w:val="0"/>
          <w:numId w:val="1"/>
        </w:numPr>
        <w:rPr>
          <w:b/>
          <w:bCs/>
        </w:rPr>
      </w:pPr>
      <w:r w:rsidRPr="00B532A7">
        <w:rPr>
          <w:b/>
          <w:bCs/>
        </w:rPr>
        <w:t>What current or emerging issues should the Second Action Plan address, including in relation to coercive control and technology-facilitated abuse?</w:t>
      </w:r>
    </w:p>
    <w:p w14:paraId="0829259F" w14:textId="77777777" w:rsidR="00B10E94" w:rsidRPr="00B532A7" w:rsidRDefault="00B10E94" w:rsidP="00B10E94">
      <w:pPr>
        <w:numPr>
          <w:ilvl w:val="0"/>
          <w:numId w:val="1"/>
        </w:numPr>
        <w:rPr>
          <w:b/>
          <w:bCs/>
        </w:rPr>
      </w:pPr>
      <w:r w:rsidRPr="00B532A7">
        <w:rPr>
          <w:b/>
          <w:bCs/>
        </w:rPr>
        <w:t>What gaps remain in addressing the needs of diverse communities, including Aboriginal and Torres Strait Islander people?</w:t>
      </w:r>
    </w:p>
    <w:p w14:paraId="10A8B006" w14:textId="327D652C" w:rsidR="006A2878" w:rsidRDefault="006A2878">
      <w:r>
        <w:t>Victim-survivors of domestic, family and sexual violence (DFSV) require accessible, trauma-informed, culturally safe and coordinated responses that support safety, healing and recovery across the life course. While significant progress has been made in strengthening specialist services and improving cross-sector responses, important gaps remain for victim-survivors who experience multiple and intersecting forms of disadvantage, including those who encounter the criminal justice system.</w:t>
      </w:r>
    </w:p>
    <w:p w14:paraId="5AD643EA" w14:textId="5BAED36D" w:rsidR="00A43CC3" w:rsidRDefault="000B0D3F">
      <w:r>
        <w:t>The National Plan seeks to improve outcomes for all victim-survivors. To achieve this vision, greater attention must be given to settings and populations that are often</w:t>
      </w:r>
      <w:r w:rsidR="006A2878">
        <w:t xml:space="preserve"> overlooked </w:t>
      </w:r>
      <w:r>
        <w:t xml:space="preserve">within mainstream service responses. One such gap is the limited recognition of custodial settings and custodial healthcare services as part of Australia’s broader DFSV response system. </w:t>
      </w:r>
    </w:p>
    <w:p w14:paraId="746397CA" w14:textId="64F7B634" w:rsidR="004E5C86" w:rsidRDefault="004E5C86">
      <w:r>
        <w:t xml:space="preserve">Justice Health Services occupy a unique position at the intersection of Australia’s health and justice systems. Through Healthcare delivery across correctional centres, courts and community forensic settings, clinicians observe patterns of trauma, victimisation, coercive control, mental illness, substance use, health inequities and justice involvement that are not routinely visible within community health services alone. These observations provide important system intelligence regarding pathways into custody, barriers to disclosure, opportunities for early intervention, continuity of care and long-term recovery. National policy would benefit from stronger mechanisms to incorporate evidence generated within custodial health services into implementation, evaluation and future reform. </w:t>
      </w:r>
    </w:p>
    <w:p w14:paraId="3889EE23" w14:textId="13DA8A6A" w:rsidR="00E248E8" w:rsidRDefault="00A43CC3">
      <w:r>
        <w:t xml:space="preserve">There is a </w:t>
      </w:r>
      <w:r w:rsidR="00E248E8">
        <w:t>substantial</w:t>
      </w:r>
      <w:r>
        <w:t xml:space="preserve"> and growing evidence base demonstrating the strong relationship between DF</w:t>
      </w:r>
      <w:r w:rsidR="00E248E8">
        <w:t>S</w:t>
      </w:r>
      <w:r>
        <w:t xml:space="preserve">V victimisation and pathways into custody. </w:t>
      </w:r>
      <w:r w:rsidR="000B0D3F">
        <w:t>W</w:t>
      </w:r>
      <w:r>
        <w:t>omen</w:t>
      </w:r>
      <w:r w:rsidR="000B0D3F">
        <w:t xml:space="preserve"> in custody report exceptionally high rates of </w:t>
      </w:r>
      <w:r w:rsidR="004E5C86">
        <w:t>cumulative harm through</w:t>
      </w:r>
      <w:r w:rsidR="000B0D3F">
        <w:t xml:space="preserve"> </w:t>
      </w:r>
      <w:r w:rsidR="00287C68">
        <w:t>DFSV</w:t>
      </w:r>
      <w:r w:rsidR="000B0D3F">
        <w:t>, childhood abuse and coercive control.</w:t>
      </w:r>
      <w:r w:rsidR="004E5C86">
        <w:t xml:space="preserve"> </w:t>
      </w:r>
      <w:r w:rsidR="003C6052">
        <w:t>For some victim-survivors, imprisonment may occur in the context</w:t>
      </w:r>
      <w:r w:rsidR="000B0D3F">
        <w:t xml:space="preserve"> of survival </w:t>
      </w:r>
      <w:r w:rsidR="003C6052">
        <w:t>response</w:t>
      </w:r>
      <w:r w:rsidR="000B0D3F">
        <w:t xml:space="preserve">s, self-defensive actions, economic abuse, homelessness, </w:t>
      </w:r>
      <w:r w:rsidR="003C6052">
        <w:t>or</w:t>
      </w:r>
      <w:r w:rsidR="000B0D3F">
        <w:t xml:space="preserve"> </w:t>
      </w:r>
      <w:r w:rsidR="000B0D3F">
        <w:lastRenderedPageBreak/>
        <w:t xml:space="preserve">misidentification as the primary aggressor. </w:t>
      </w:r>
      <w:r w:rsidR="005A5892">
        <w:t>Further, p</w:t>
      </w:r>
      <w:r w:rsidR="00FA3418">
        <w:t>eople in custody experience some of the poorest health outcome</w:t>
      </w:r>
      <w:r w:rsidR="003D0068">
        <w:t>s</w:t>
      </w:r>
      <w:r w:rsidR="00FA3418">
        <w:t xml:space="preserve"> and greatest </w:t>
      </w:r>
      <w:r w:rsidR="003C6052">
        <w:t xml:space="preserve">barriers to healthcare access in Australia. </w:t>
      </w:r>
      <w:r w:rsidR="005A5892">
        <w:t xml:space="preserve">Despite this, custodial health services remain largely absent from national DFSV policy. This omission limits the National Plan’s ability to reach some of Australia’s most marginalised victim-survivors and </w:t>
      </w:r>
      <w:r w:rsidR="003C6052">
        <w:t>risks perpetuating existing health inequities.</w:t>
      </w:r>
      <w:r w:rsidR="006870D6">
        <w:t xml:space="preserve"> It also overlooks opportunities </w:t>
      </w:r>
      <w:r w:rsidR="003C6052">
        <w:t>for custodial health services to identify victim-survivors</w:t>
      </w:r>
      <w:r w:rsidR="006870D6">
        <w:t xml:space="preserve"> who may never have </w:t>
      </w:r>
      <w:r w:rsidR="00E248E8">
        <w:t xml:space="preserve">previously disclosed violence, </w:t>
      </w:r>
      <w:r w:rsidR="00C902C5">
        <w:t>provide trauma-informed healthcare, facilitate referral to</w:t>
      </w:r>
      <w:r w:rsidR="00E248E8">
        <w:t xml:space="preserve"> specialist s</w:t>
      </w:r>
      <w:r w:rsidR="00C902C5">
        <w:t>ervices</w:t>
      </w:r>
      <w:r w:rsidR="00E248E8">
        <w:t xml:space="preserve">, </w:t>
      </w:r>
      <w:r w:rsidR="00C902C5">
        <w:t>and support continuity of care following release</w:t>
      </w:r>
      <w:r w:rsidR="00E248E8">
        <w:t>.</w:t>
      </w:r>
      <w:r w:rsidR="005A5892">
        <w:t xml:space="preserve"> </w:t>
      </w:r>
    </w:p>
    <w:p w14:paraId="6B8792BC" w14:textId="272188E0" w:rsidR="00287C68" w:rsidRDefault="00287C68">
      <w:r>
        <w:t>Many women in custody are also mothers and primary carers. Experiences of DFSV, incarceration and child protection involvement can have significant impacts on children and families, contributing to intergenerational cycles of trauma, disadvantage and violence. Responses that support family relationships, parenting and continuity of care can pla</w:t>
      </w:r>
      <w:r w:rsidR="00CB706C">
        <w:t>y</w:t>
      </w:r>
      <w:r>
        <w:t xml:space="preserve"> an important role in promoting healing and strengthening protective factors for both women and children. </w:t>
      </w:r>
    </w:p>
    <w:p w14:paraId="78EBF1F8" w14:textId="526B42E9" w:rsidR="007927F2" w:rsidRDefault="007927F2">
      <w:r>
        <w:t>Victim-survivors in custody often</w:t>
      </w:r>
      <w:r w:rsidR="00E248E8">
        <w:t xml:space="preserve"> face multiple barriers to seeking help. Many</w:t>
      </w:r>
      <w:r>
        <w:t xml:space="preserve"> do not identify </w:t>
      </w:r>
      <w:r w:rsidR="00E248E8">
        <w:t xml:space="preserve">their experiences as DFSV, particularly where violence has been normalised </w:t>
      </w:r>
      <w:r w:rsidR="00597566">
        <w:t>throughout childhood and adulthood</w:t>
      </w:r>
      <w:r w:rsidR="00E248E8">
        <w:t>. Others</w:t>
      </w:r>
      <w:r>
        <w:t xml:space="preserve"> have experienced </w:t>
      </w:r>
      <w:r w:rsidR="00597566">
        <w:t>previous negative interactions with services, institutional mistrust, stigma, discrimination or fear of repercussions following disclosure. T</w:t>
      </w:r>
      <w:r>
        <w:t xml:space="preserve">hese barriers </w:t>
      </w:r>
      <w:r w:rsidR="00597566">
        <w:t>can</w:t>
      </w:r>
      <w:r w:rsidR="00E248E8">
        <w:t xml:space="preserve"> be</w:t>
      </w:r>
      <w:r>
        <w:t xml:space="preserve"> </w:t>
      </w:r>
      <w:r w:rsidR="00E248E8">
        <w:t>compounded</w:t>
      </w:r>
      <w:r>
        <w:t xml:space="preserve"> </w:t>
      </w:r>
      <w:r w:rsidR="00F942A7">
        <w:t>by disability,</w:t>
      </w:r>
      <w:r w:rsidR="00597566">
        <w:t xml:space="preserve"> cognitive impairment,</w:t>
      </w:r>
      <w:r w:rsidR="00287C68">
        <w:t xml:space="preserve"> acquired brain injury,</w:t>
      </w:r>
      <w:r w:rsidR="00597566">
        <w:t xml:space="preserve"> mental illness, language barriers,</w:t>
      </w:r>
      <w:r w:rsidR="00F942A7">
        <w:t xml:space="preserve"> cultural</w:t>
      </w:r>
      <w:r w:rsidR="00597566">
        <w:t xml:space="preserve"> considerations</w:t>
      </w:r>
      <w:r w:rsidR="00F942A7">
        <w:t>,</w:t>
      </w:r>
      <w:r w:rsidR="00597566">
        <w:t xml:space="preserve"> gender diversity, sexuality, and experiences of racism and social exclusion. Aboriginal and Torres Strait Islander peoples, culturally and linguistically diverse </w:t>
      </w:r>
      <w:r w:rsidR="00744819">
        <w:t>communities, LGBTIQA</w:t>
      </w:r>
      <w:r w:rsidR="00F942A7">
        <w:t>+ people and</w:t>
      </w:r>
      <w:r w:rsidR="00597566">
        <w:t xml:space="preserve"> people with disability may face additional challenges accessing safe and appropriate support. </w:t>
      </w:r>
    </w:p>
    <w:p w14:paraId="2D196749" w14:textId="09E14FF5" w:rsidR="00597566" w:rsidRDefault="00F942A7">
      <w:r>
        <w:t xml:space="preserve">At the same time, custody can present a unique opportunity for engagement. For many individuals, healthcare services in custody </w:t>
      </w:r>
      <w:r w:rsidR="00597566">
        <w:t>represent</w:t>
      </w:r>
      <w:r>
        <w:t xml:space="preserve"> the first consistent point of contact with health professionals in years and may provide one of the few opportunities for safe enquiry, early identification</w:t>
      </w:r>
      <w:r w:rsidR="00597566">
        <w:t xml:space="preserve"> of violence</w:t>
      </w:r>
      <w:r>
        <w:t xml:space="preserve"> and connection to support. </w:t>
      </w:r>
      <w:r w:rsidR="00744819">
        <w:t>This opportunity should not be assumed to be captured within broader references to health or community-based service responses. Custodial healt</w:t>
      </w:r>
      <w:r w:rsidR="00CB706C">
        <w:t>h</w:t>
      </w:r>
      <w:r w:rsidR="00744819">
        <w:t xml:space="preserve"> services operate separately from community health systems and are not always explicitly included in DFSV policy, reform activity or service planning. As a result, victim-survivors in custody may be overlooked despite having high levels of need and limited prior engagement with support.</w:t>
      </w:r>
    </w:p>
    <w:p w14:paraId="71D79A15" w14:textId="036A9BC1" w:rsidR="00744819" w:rsidRDefault="00744819">
      <w:r>
        <w:t>Practice evidence also suggests that custodial health</w:t>
      </w:r>
      <w:r w:rsidR="00CB706C">
        <w:t xml:space="preserve"> services</w:t>
      </w:r>
      <w:r>
        <w:t xml:space="preserve"> can play an important early intervention role. Pilot routine domestic violence screening implemented in two women’s correctional centres demonstrates the potential for safe enquiry, earlier identification and supported referral when this work is embedded within trauma-informed clinical pathways and appropriately resourced service responses. </w:t>
      </w:r>
      <w:r w:rsidR="006932B2">
        <w:t xml:space="preserve">Custodial </w:t>
      </w:r>
      <w:r w:rsidR="006932B2">
        <w:lastRenderedPageBreak/>
        <w:t xml:space="preserve">health services also provide opportunities to identify and respond to forms of violence that may otherwise remain hidden, including reproductive coercion, sexual violence and violence experienced during pregnancy. </w:t>
      </w:r>
      <w:r>
        <w:t>This supports the need for explicit inclusion of custodial healthcare settings within the Second Action Plan.</w:t>
      </w:r>
    </w:p>
    <w:p w14:paraId="126AC1B1" w14:textId="6A3E6A51" w:rsidR="00F942A7" w:rsidRDefault="00F942A7">
      <w:r>
        <w:t>When appropriately resourced</w:t>
      </w:r>
      <w:r w:rsidR="00597566">
        <w:t>, custodial health services can contribute to</w:t>
      </w:r>
      <w:r>
        <w:t xml:space="preserve"> victim-survivor safety, wellbeing, healing and recovery</w:t>
      </w:r>
      <w:r w:rsidR="0010673C">
        <w:t xml:space="preserve"> </w:t>
      </w:r>
      <w:r>
        <w:t>by:</w:t>
      </w:r>
    </w:p>
    <w:p w14:paraId="02D9C218" w14:textId="384A802C" w:rsidR="00A43CC3" w:rsidRDefault="007927F2" w:rsidP="007927F2">
      <w:pPr>
        <w:pStyle w:val="ListParagraph"/>
        <w:numPr>
          <w:ilvl w:val="0"/>
          <w:numId w:val="6"/>
        </w:numPr>
      </w:pPr>
      <w:r>
        <w:t>Identify</w:t>
      </w:r>
      <w:r w:rsidR="00F942A7">
        <w:t>ing</w:t>
      </w:r>
      <w:r>
        <w:t xml:space="preserve"> victim-survivors early, including those who have never previously </w:t>
      </w:r>
      <w:r w:rsidR="00A34E62">
        <w:t>disclosed</w:t>
      </w:r>
      <w:r w:rsidR="00F942A7">
        <w:t xml:space="preserve"> experiences of violence</w:t>
      </w:r>
      <w:r w:rsidR="00A34E62">
        <w:t>.</w:t>
      </w:r>
    </w:p>
    <w:p w14:paraId="3E356A69" w14:textId="4EC3C161" w:rsidR="007927F2" w:rsidRDefault="007927F2" w:rsidP="007927F2">
      <w:pPr>
        <w:pStyle w:val="ListParagraph"/>
        <w:numPr>
          <w:ilvl w:val="0"/>
          <w:numId w:val="6"/>
        </w:numPr>
      </w:pPr>
      <w:r>
        <w:t>Provid</w:t>
      </w:r>
      <w:r w:rsidR="00F942A7">
        <w:t>ing</w:t>
      </w:r>
      <w:r>
        <w:t xml:space="preserve"> trauma-informed, culturally safe</w:t>
      </w:r>
      <w:r w:rsidR="00F942A7">
        <w:t>, and gender-responsive healthcare.</w:t>
      </w:r>
    </w:p>
    <w:p w14:paraId="7A20A3AA" w14:textId="46E80EAF" w:rsidR="007927F2" w:rsidRDefault="007927F2" w:rsidP="007927F2">
      <w:pPr>
        <w:pStyle w:val="ListParagraph"/>
        <w:numPr>
          <w:ilvl w:val="0"/>
          <w:numId w:val="6"/>
        </w:numPr>
      </w:pPr>
      <w:r>
        <w:t>Address</w:t>
      </w:r>
      <w:r w:rsidR="00F942A7">
        <w:t>ing the long-term physical, psychological and behavioural impacts</w:t>
      </w:r>
      <w:r>
        <w:t xml:space="preserve"> of violence, including mental health, </w:t>
      </w:r>
      <w:r w:rsidR="00F942A7">
        <w:t>substance use,</w:t>
      </w:r>
      <w:r w:rsidR="006932B2">
        <w:t xml:space="preserve"> disability-related needs</w:t>
      </w:r>
      <w:r w:rsidR="00F942A7">
        <w:t xml:space="preserve"> and </w:t>
      </w:r>
      <w:r>
        <w:t>chronic</w:t>
      </w:r>
      <w:r w:rsidR="00F942A7">
        <w:t xml:space="preserve"> health</w:t>
      </w:r>
      <w:r>
        <w:t xml:space="preserve"> conditions</w:t>
      </w:r>
      <w:r w:rsidR="00A34E62">
        <w:t>.</w:t>
      </w:r>
    </w:p>
    <w:p w14:paraId="63F92D90" w14:textId="6EEB0782" w:rsidR="007927F2" w:rsidRDefault="00F942A7" w:rsidP="007927F2">
      <w:pPr>
        <w:pStyle w:val="ListParagraph"/>
        <w:numPr>
          <w:ilvl w:val="0"/>
          <w:numId w:val="6"/>
        </w:numPr>
      </w:pPr>
      <w:r>
        <w:t>Supporting</w:t>
      </w:r>
      <w:r w:rsidR="007927F2">
        <w:t xml:space="preserve"> pathways to specialist</w:t>
      </w:r>
      <w:r w:rsidR="00597566">
        <w:t xml:space="preserve"> DFSV</w:t>
      </w:r>
      <w:r w:rsidR="007927F2">
        <w:t xml:space="preserve"> services,</w:t>
      </w:r>
      <w:r w:rsidR="00597566">
        <w:t xml:space="preserve"> legal assistance, housing and social supports</w:t>
      </w:r>
      <w:r w:rsidR="007927F2">
        <w:t xml:space="preserve"> both within custody</w:t>
      </w:r>
      <w:r>
        <w:t xml:space="preserve"> and</w:t>
      </w:r>
      <w:r w:rsidR="007927F2">
        <w:t xml:space="preserve"> on </w:t>
      </w:r>
      <w:r w:rsidR="00A34E62">
        <w:t>release.</w:t>
      </w:r>
    </w:p>
    <w:p w14:paraId="400683BD" w14:textId="243AC1A6" w:rsidR="00F942A7" w:rsidRDefault="00F942A7" w:rsidP="007927F2">
      <w:pPr>
        <w:pStyle w:val="ListParagraph"/>
        <w:numPr>
          <w:ilvl w:val="0"/>
          <w:numId w:val="6"/>
        </w:numPr>
      </w:pPr>
      <w:r>
        <w:t xml:space="preserve">Facilitating continuity of care before, during and after custody. </w:t>
      </w:r>
    </w:p>
    <w:p w14:paraId="1D93F09A" w14:textId="3966824E" w:rsidR="007927F2" w:rsidRDefault="00F942A7" w:rsidP="007927F2">
      <w:pPr>
        <w:pStyle w:val="ListParagraph"/>
        <w:numPr>
          <w:ilvl w:val="0"/>
          <w:numId w:val="6"/>
        </w:numPr>
      </w:pPr>
      <w:r>
        <w:t xml:space="preserve">Strengthening protective factors that reduce </w:t>
      </w:r>
      <w:r w:rsidR="00E77F42">
        <w:t>future</w:t>
      </w:r>
      <w:r>
        <w:t xml:space="preserve"> </w:t>
      </w:r>
      <w:r w:rsidR="007927F2">
        <w:t xml:space="preserve">victimisation and </w:t>
      </w:r>
      <w:r w:rsidR="00E77F42">
        <w:t>justice involvement</w:t>
      </w:r>
      <w:r w:rsidR="007927F2">
        <w:t>.</w:t>
      </w:r>
    </w:p>
    <w:p w14:paraId="58A5EFB3" w14:textId="098B4C0C" w:rsidR="00B10E94" w:rsidRPr="00EF39AB" w:rsidRDefault="00DB05B0">
      <w:pPr>
        <w:rPr>
          <w:i/>
          <w:iCs/>
        </w:rPr>
      </w:pPr>
      <w:r w:rsidRPr="00EF39AB">
        <w:rPr>
          <w:i/>
          <w:iCs/>
        </w:rPr>
        <w:t>Service and System Responses that Would Make the Biggest Difference</w:t>
      </w:r>
    </w:p>
    <w:p w14:paraId="3659BCE2" w14:textId="223647E9" w:rsidR="00DB05B0" w:rsidRDefault="00E77F42">
      <w:r>
        <w:t>T</w:t>
      </w:r>
      <w:r w:rsidR="00DB05B0">
        <w:t xml:space="preserve">he Second </w:t>
      </w:r>
      <w:r>
        <w:t>A</w:t>
      </w:r>
      <w:r w:rsidR="00DB05B0">
        <w:t>ction Plan should</w:t>
      </w:r>
      <w:r>
        <w:t xml:space="preserve"> prioritise</w:t>
      </w:r>
      <w:r w:rsidR="00DB05B0">
        <w:t>:</w:t>
      </w:r>
    </w:p>
    <w:p w14:paraId="751CEF2A" w14:textId="40D59544" w:rsidR="00DB05B0" w:rsidRDefault="00E77F42" w:rsidP="00DB05B0">
      <w:pPr>
        <w:pStyle w:val="ListParagraph"/>
        <w:numPr>
          <w:ilvl w:val="0"/>
          <w:numId w:val="7"/>
        </w:numPr>
      </w:pPr>
      <w:r>
        <w:t>R</w:t>
      </w:r>
      <w:r w:rsidR="00DB05B0">
        <w:t>ecogni</w:t>
      </w:r>
      <w:r>
        <w:t>tion of</w:t>
      </w:r>
      <w:r w:rsidR="00DB05B0">
        <w:t xml:space="preserve"> custodial healthcare settings as </w:t>
      </w:r>
      <w:r>
        <w:t xml:space="preserve">part of the broader </w:t>
      </w:r>
      <w:r w:rsidR="00DB05B0">
        <w:t>DF</w:t>
      </w:r>
      <w:r w:rsidR="008F3DC0">
        <w:t>S</w:t>
      </w:r>
      <w:r w:rsidR="00DB05B0">
        <w:t xml:space="preserve">V </w:t>
      </w:r>
      <w:r>
        <w:t>response system.</w:t>
      </w:r>
    </w:p>
    <w:p w14:paraId="28041B05" w14:textId="6391996C" w:rsidR="008F3DC0" w:rsidRDefault="00E77F42" w:rsidP="008F3DC0">
      <w:pPr>
        <w:ind w:left="360"/>
      </w:pPr>
      <w:r>
        <w:t>Victim-survivors should be able to access safe, trauma-informed support regardless of where they engage with services. Explicit r</w:t>
      </w:r>
      <w:r w:rsidR="008F3DC0">
        <w:t xml:space="preserve">ecognition </w:t>
      </w:r>
      <w:r>
        <w:t xml:space="preserve">of custodial healthcare settings within national policy </w:t>
      </w:r>
      <w:r w:rsidR="008F3DC0">
        <w:t xml:space="preserve">frameworks would help ensure that victim-survivors in custody are not excluded from reform initiatives, service planning, workforce development and funding opportunities. </w:t>
      </w:r>
    </w:p>
    <w:p w14:paraId="1D7F2A93" w14:textId="2A7BE853" w:rsidR="00DB05B0" w:rsidRDefault="00E77F42" w:rsidP="00DB05B0">
      <w:pPr>
        <w:pStyle w:val="ListParagraph"/>
        <w:numPr>
          <w:ilvl w:val="0"/>
          <w:numId w:val="7"/>
        </w:numPr>
      </w:pPr>
      <w:r>
        <w:t>T</w:t>
      </w:r>
      <w:r w:rsidR="008F3DC0">
        <w:t>rauma-informed</w:t>
      </w:r>
      <w:r>
        <w:t>,</w:t>
      </w:r>
      <w:r w:rsidR="008F3DC0">
        <w:t xml:space="preserve"> culturally safe</w:t>
      </w:r>
      <w:r>
        <w:t xml:space="preserve"> and gender-responsive healthcare</w:t>
      </w:r>
      <w:r w:rsidR="008F3DC0">
        <w:t xml:space="preserve"> responses.</w:t>
      </w:r>
    </w:p>
    <w:p w14:paraId="7C8B4952" w14:textId="0F1C9C0A" w:rsidR="008F3DC0" w:rsidRDefault="008F3DC0" w:rsidP="008F3DC0">
      <w:pPr>
        <w:pStyle w:val="ListParagraph"/>
      </w:pPr>
      <w:r>
        <w:t xml:space="preserve">This should include </w:t>
      </w:r>
      <w:r w:rsidR="00E77F42">
        <w:t>investment in</w:t>
      </w:r>
      <w:r>
        <w:t>:</w:t>
      </w:r>
    </w:p>
    <w:p w14:paraId="3E76D847" w14:textId="7FF09EE8" w:rsidR="00DB05B0" w:rsidRDefault="00E77F42" w:rsidP="00DB05B0">
      <w:pPr>
        <w:pStyle w:val="ListParagraph"/>
        <w:numPr>
          <w:ilvl w:val="0"/>
          <w:numId w:val="8"/>
        </w:numPr>
      </w:pPr>
      <w:r>
        <w:t>S</w:t>
      </w:r>
      <w:r w:rsidR="00DB05B0">
        <w:t>pecialist DF</w:t>
      </w:r>
      <w:r w:rsidR="008F3DC0">
        <w:t>S</w:t>
      </w:r>
      <w:r w:rsidR="00DB05B0">
        <w:t>V clinical pathways</w:t>
      </w:r>
      <w:r w:rsidR="008F3DC0">
        <w:t>.</w:t>
      </w:r>
    </w:p>
    <w:p w14:paraId="0B12C098" w14:textId="425F3C6F" w:rsidR="00E77F42" w:rsidRDefault="00E77F42" w:rsidP="00DB05B0">
      <w:pPr>
        <w:pStyle w:val="ListParagraph"/>
        <w:numPr>
          <w:ilvl w:val="0"/>
          <w:numId w:val="8"/>
        </w:numPr>
      </w:pPr>
      <w:r>
        <w:t>Routine, sensitive and safe enquiry regarding experiences of violence.</w:t>
      </w:r>
    </w:p>
    <w:p w14:paraId="517ACED6" w14:textId="4D15E7A3" w:rsidR="00DB05B0" w:rsidRDefault="00E77F42" w:rsidP="00DB05B0">
      <w:pPr>
        <w:pStyle w:val="ListParagraph"/>
        <w:numPr>
          <w:ilvl w:val="0"/>
          <w:numId w:val="8"/>
        </w:numPr>
      </w:pPr>
      <w:r>
        <w:t>W</w:t>
      </w:r>
      <w:r w:rsidR="00DB05B0">
        <w:t>orkforce training</w:t>
      </w:r>
      <w:r w:rsidR="008F3DC0">
        <w:t>,</w:t>
      </w:r>
      <w:r w:rsidR="00DB05B0">
        <w:t xml:space="preserve"> supervision</w:t>
      </w:r>
      <w:r w:rsidR="008F3DC0">
        <w:t xml:space="preserve"> and practice guidance.</w:t>
      </w:r>
    </w:p>
    <w:p w14:paraId="7870ED0E" w14:textId="1AF87DFD" w:rsidR="008F3DC0" w:rsidRDefault="008F3DC0" w:rsidP="00DB05B0">
      <w:pPr>
        <w:pStyle w:val="ListParagraph"/>
        <w:numPr>
          <w:ilvl w:val="0"/>
          <w:numId w:val="8"/>
        </w:numPr>
      </w:pPr>
      <w:r>
        <w:t>Embed</w:t>
      </w:r>
      <w:r w:rsidR="00E77F42">
        <w:t>ded</w:t>
      </w:r>
      <w:r>
        <w:t xml:space="preserve"> </w:t>
      </w:r>
      <w:r w:rsidR="00E77F42">
        <w:t>specialist DFSV expertise within custodial health settings.</w:t>
      </w:r>
    </w:p>
    <w:p w14:paraId="6C26D83C" w14:textId="3F184464" w:rsidR="00DB05B0" w:rsidRDefault="00E77F42" w:rsidP="00E77F42">
      <w:pPr>
        <w:pStyle w:val="ListParagraph"/>
        <w:numPr>
          <w:ilvl w:val="0"/>
          <w:numId w:val="8"/>
        </w:numPr>
        <w:spacing w:before="240" w:line="360" w:lineRule="auto"/>
      </w:pPr>
      <w:r>
        <w:t>Peer support and peer navigation initiatives informed by lived experience</w:t>
      </w:r>
      <w:r w:rsidR="00A34E62">
        <w:t>.</w:t>
      </w:r>
    </w:p>
    <w:p w14:paraId="37E87F51" w14:textId="16C25FF0" w:rsidR="006932B2" w:rsidRDefault="006932B2" w:rsidP="00E77F42">
      <w:pPr>
        <w:pStyle w:val="ListParagraph"/>
        <w:numPr>
          <w:ilvl w:val="0"/>
          <w:numId w:val="8"/>
        </w:numPr>
        <w:spacing w:before="240" w:line="360" w:lineRule="auto"/>
      </w:pPr>
      <w:r>
        <w:t>Disability-informed and cognitively accessible approaches that support safe identification and response.</w:t>
      </w:r>
    </w:p>
    <w:p w14:paraId="1EE5CD24" w14:textId="77777777" w:rsidR="00C53C9D" w:rsidRDefault="00C53C9D" w:rsidP="00C53C9D">
      <w:pPr>
        <w:pStyle w:val="ListParagraph"/>
        <w:spacing w:before="240" w:line="360" w:lineRule="auto"/>
        <w:ind w:left="1440"/>
      </w:pPr>
    </w:p>
    <w:p w14:paraId="786F1F0F" w14:textId="10EBD072" w:rsidR="00DB05B0" w:rsidRDefault="00E77F42" w:rsidP="00E77F42">
      <w:pPr>
        <w:pStyle w:val="ListParagraph"/>
        <w:numPr>
          <w:ilvl w:val="0"/>
          <w:numId w:val="7"/>
        </w:numPr>
        <w:spacing w:before="240" w:line="360" w:lineRule="auto"/>
      </w:pPr>
      <w:r>
        <w:lastRenderedPageBreak/>
        <w:t>C</w:t>
      </w:r>
      <w:r w:rsidR="008F3DC0">
        <w:t>ontinuity of care through integrated throughcare models</w:t>
      </w:r>
      <w:r w:rsidR="00DB05B0">
        <w:t>.</w:t>
      </w:r>
    </w:p>
    <w:p w14:paraId="0C3D67D7" w14:textId="0F9F20CE" w:rsidR="008F3DC0" w:rsidRDefault="008F3DC0" w:rsidP="008F3DC0">
      <w:pPr>
        <w:ind w:left="360"/>
      </w:pPr>
      <w:r>
        <w:t xml:space="preserve">Victim-survivors frequently experience heightened vulnerability during transitions into and out of custody. </w:t>
      </w:r>
      <w:r w:rsidR="006932B2">
        <w:t xml:space="preserve">Release from custody can be a high-risk period, with increased exposure to housing instability, economic insecurity, ongoing coercive control, child protection stressors and return to unsafe relationships. </w:t>
      </w:r>
      <w:r w:rsidR="00E77F42">
        <w:t>T</w:t>
      </w:r>
      <w:r>
        <w:t>hroughcare models should support continuity of healthcare, safety planning, and referral pathways to community-based services, housing</w:t>
      </w:r>
      <w:r w:rsidR="00E77F42">
        <w:t xml:space="preserve"> access</w:t>
      </w:r>
      <w:r>
        <w:t>, mental health</w:t>
      </w:r>
      <w:r w:rsidR="00E77F42">
        <w:t>care</w:t>
      </w:r>
      <w:r>
        <w:t>, alcohol and other drug treatment, and</w:t>
      </w:r>
      <w:r w:rsidR="00E77F42">
        <w:t xml:space="preserve"> connection to</w:t>
      </w:r>
      <w:r>
        <w:t xml:space="preserve"> specialist DFSV supports. </w:t>
      </w:r>
    </w:p>
    <w:p w14:paraId="4CFED8AE" w14:textId="3EB82A13" w:rsidR="008F3DC0" w:rsidRDefault="00E77F42" w:rsidP="00DB05B0">
      <w:pPr>
        <w:pStyle w:val="ListParagraph"/>
        <w:numPr>
          <w:ilvl w:val="0"/>
          <w:numId w:val="7"/>
        </w:numPr>
      </w:pPr>
      <w:r>
        <w:t>S</w:t>
      </w:r>
      <w:r w:rsidR="008F3DC0">
        <w:t>tronger partnerships</w:t>
      </w:r>
      <w:r>
        <w:t xml:space="preserve"> across sectors</w:t>
      </w:r>
      <w:r w:rsidR="008F3DC0">
        <w:t xml:space="preserve">. </w:t>
      </w:r>
    </w:p>
    <w:p w14:paraId="39F12818" w14:textId="778197EA" w:rsidR="00DB05B0" w:rsidRDefault="00253F73" w:rsidP="008F3DC0">
      <w:pPr>
        <w:ind w:left="360"/>
      </w:pPr>
      <w:r>
        <w:t>Partnerships between custodial health services, specialist DFSV services, Aboriginal Community Controlled Organisations, disability services, housing providers and community-based organisations are essential to reducing fragmentation and improving</w:t>
      </w:r>
      <w:r w:rsidR="008F3DC0">
        <w:t xml:space="preserve"> recovery outcomes.</w:t>
      </w:r>
      <w:r w:rsidR="00DB05B0">
        <w:t xml:space="preserve"> </w:t>
      </w:r>
    </w:p>
    <w:p w14:paraId="5C6A7BEB" w14:textId="28D1CB47" w:rsidR="00744819" w:rsidRDefault="006932B2" w:rsidP="006932B2">
      <w:pPr>
        <w:pStyle w:val="ListParagraph"/>
        <w:numPr>
          <w:ilvl w:val="0"/>
          <w:numId w:val="7"/>
        </w:numPr>
        <w:rPr>
          <w:i/>
          <w:iCs/>
        </w:rPr>
      </w:pPr>
      <w:r>
        <w:rPr>
          <w:i/>
          <w:iCs/>
        </w:rPr>
        <w:t>Improved information sharing and service integration</w:t>
      </w:r>
    </w:p>
    <w:p w14:paraId="53AD8634" w14:textId="1C199985" w:rsidR="006932B2" w:rsidRPr="006932B2" w:rsidRDefault="006932B2" w:rsidP="006932B2">
      <w:pPr>
        <w:ind w:left="360"/>
      </w:pPr>
      <w:r>
        <w:t>Safe, trauma-informed information-sharing arrangements and coordinated care pathways can strengthen identification, referral and continuity of support across health, justice and community service systems while maintaining victim-survivor</w:t>
      </w:r>
      <w:r w:rsidR="00E17B3C">
        <w:t xml:space="preserve"> safety</w:t>
      </w:r>
      <w:r>
        <w:t>, privacy</w:t>
      </w:r>
      <w:r w:rsidR="00E17B3C">
        <w:t xml:space="preserve"> and choice.</w:t>
      </w:r>
    </w:p>
    <w:p w14:paraId="48D299B5" w14:textId="096E02B4" w:rsidR="00B10E94" w:rsidRPr="00EF39AB" w:rsidRDefault="00F87446">
      <w:pPr>
        <w:rPr>
          <w:i/>
          <w:iCs/>
        </w:rPr>
      </w:pPr>
      <w:r>
        <w:rPr>
          <w:i/>
          <w:iCs/>
        </w:rPr>
        <w:t>Supporting Earlier Access to Help</w:t>
      </w:r>
    </w:p>
    <w:p w14:paraId="295431F5" w14:textId="16E8F332" w:rsidR="00253F73" w:rsidRDefault="00F87446">
      <w:r>
        <w:t xml:space="preserve">Earlier intervention </w:t>
      </w:r>
      <w:r w:rsidR="00253F73">
        <w:t>depend</w:t>
      </w:r>
      <w:r>
        <w:t>s</w:t>
      </w:r>
      <w:r w:rsidR="00253F73">
        <w:t xml:space="preserve"> on creating</w:t>
      </w:r>
      <w:r>
        <w:t xml:space="preserve"> environments where victim-survivors feel safe to disclose </w:t>
      </w:r>
      <w:r w:rsidR="00253F73">
        <w:t>violence</w:t>
      </w:r>
      <w:r>
        <w:t xml:space="preserve"> and confident they will receive an appropriate response. </w:t>
      </w:r>
      <w:r w:rsidR="00253F73">
        <w:t xml:space="preserve">This requires trauma-informed practice, </w:t>
      </w:r>
      <w:r>
        <w:t>cultural safe</w:t>
      </w:r>
      <w:r w:rsidR="00253F73">
        <w:t xml:space="preserve">ty, workforce </w:t>
      </w:r>
      <w:r>
        <w:t>capability</w:t>
      </w:r>
      <w:r w:rsidR="00253F73">
        <w:t>, lived-experience-informed service design and accessible pathways to support. The Second Action Plan should also strengthen mechanisms for co-design with victim-survivors, including women with lived experience of incarceration, to ensure services are responsive, accessible and effective.</w:t>
      </w:r>
    </w:p>
    <w:p w14:paraId="7243BE22" w14:textId="5DA32980" w:rsidR="00F87446" w:rsidRPr="00F87446" w:rsidRDefault="00F87446">
      <w:pPr>
        <w:rPr>
          <w:i/>
          <w:iCs/>
        </w:rPr>
      </w:pPr>
      <w:r w:rsidRPr="00F87446">
        <w:rPr>
          <w:i/>
          <w:iCs/>
        </w:rPr>
        <w:t>Emerging Issues: Coercive Control and Technology-Facilitated Abuse</w:t>
      </w:r>
    </w:p>
    <w:p w14:paraId="4ED7A382" w14:textId="77777777" w:rsidR="00F87446" w:rsidRDefault="00F87446">
      <w:r>
        <w:t xml:space="preserve">The Second Action Plan should recognise that coercive control may continue during periods of incarceration and can extend beyond physical proximity. </w:t>
      </w:r>
      <w:r w:rsidR="00DB05B0">
        <w:t>Victim-survivors</w:t>
      </w:r>
      <w:r>
        <w:t xml:space="preserve"> may remain subject to ongoing patterns of intimidation, financial abuse, family manipulation, systems abuse and coercion through third parties.</w:t>
      </w:r>
    </w:p>
    <w:p w14:paraId="7893EB0B" w14:textId="01C68A41" w:rsidR="00F87446" w:rsidRDefault="00F87446">
      <w:r>
        <w:t xml:space="preserve">Technology-facilitated abuse </w:t>
      </w:r>
      <w:r w:rsidR="00253F73">
        <w:t>c</w:t>
      </w:r>
      <w:r>
        <w:t>o</w:t>
      </w:r>
      <w:r w:rsidR="00253F73">
        <w:t>ntinues to</w:t>
      </w:r>
      <w:r>
        <w:t xml:space="preserve"> </w:t>
      </w:r>
      <w:r w:rsidR="00253F73">
        <w:t xml:space="preserve">evolve and </w:t>
      </w:r>
      <w:r>
        <w:t>includ</w:t>
      </w:r>
      <w:r w:rsidR="00253F73">
        <w:t>es</w:t>
      </w:r>
      <w:r>
        <w:t xml:space="preserve"> digital surveillance,</w:t>
      </w:r>
      <w:r w:rsidR="00253F73">
        <w:t xml:space="preserve"> location tracking,</w:t>
      </w:r>
      <w:r>
        <w:t xml:space="preserve"> monitoring</w:t>
      </w:r>
      <w:r w:rsidR="00253F73">
        <w:t xml:space="preserve"> of communications, image-based abuse</w:t>
      </w:r>
      <w:r>
        <w:t>,</w:t>
      </w:r>
      <w:r w:rsidR="00253F73">
        <w:t xml:space="preserve"> online </w:t>
      </w:r>
      <w:r>
        <w:t>harassment</w:t>
      </w:r>
      <w:r w:rsidR="00253F73">
        <w:t xml:space="preserve">, misuse of artificial intelligence </w:t>
      </w:r>
      <w:r>
        <w:t>technologies</w:t>
      </w:r>
      <w:r w:rsidR="00253F73">
        <w:t xml:space="preserve"> and abuse through children’s devices or online accounts</w:t>
      </w:r>
      <w:r>
        <w:t xml:space="preserve">. </w:t>
      </w:r>
      <w:r w:rsidR="00253F73">
        <w:t xml:space="preserve">These risks often persist after separation and may continue following release from custody. </w:t>
      </w:r>
      <w:r>
        <w:t xml:space="preserve">Assessment, safety planning and </w:t>
      </w:r>
      <w:r w:rsidR="00253F73">
        <w:t>transition</w:t>
      </w:r>
      <w:r>
        <w:t xml:space="preserve"> planning </w:t>
      </w:r>
      <w:r>
        <w:lastRenderedPageBreak/>
        <w:t>processes should incorporate consideration of technology-facilitated abuse</w:t>
      </w:r>
      <w:r w:rsidR="00253F73">
        <w:t xml:space="preserve"> and ongoing coercive control</w:t>
      </w:r>
      <w:r>
        <w:t xml:space="preserve"> to support victim-survivor safety. </w:t>
      </w:r>
    </w:p>
    <w:p w14:paraId="4F6FEB82" w14:textId="1D2354FE" w:rsidR="0066174E" w:rsidRPr="00EF39AB" w:rsidRDefault="0066174E" w:rsidP="0066174E">
      <w:pPr>
        <w:rPr>
          <w:i/>
          <w:iCs/>
        </w:rPr>
      </w:pPr>
      <w:r w:rsidRPr="00EF39AB">
        <w:rPr>
          <w:i/>
          <w:iCs/>
        </w:rPr>
        <w:t>Addressing the Needs of Aboriginal and Torres Strait Islander Peoples</w:t>
      </w:r>
    </w:p>
    <w:p w14:paraId="1CD0E6AA" w14:textId="0AC73A28" w:rsidR="0066174E" w:rsidRDefault="0066174E" w:rsidP="0066174E">
      <w:r>
        <w:t xml:space="preserve">Aboriginal and Torres Strait Islander women </w:t>
      </w:r>
      <w:r w:rsidR="00F87446">
        <w:t xml:space="preserve">experience </w:t>
      </w:r>
      <w:r>
        <w:t>disproportionate</w:t>
      </w:r>
      <w:r w:rsidR="00253F73">
        <w:t>ly high</w:t>
      </w:r>
      <w:r w:rsidR="00F87446">
        <w:t xml:space="preserve"> rates of both violence </w:t>
      </w:r>
      <w:r>
        <w:t>and incarceration</w:t>
      </w:r>
      <w:r w:rsidR="00253F73">
        <w:t>. Effective responses require Aboriginal-led, culturally grounded approaches that recognise the impacts of colonisation</w:t>
      </w:r>
      <w:r>
        <w:t xml:space="preserve">, </w:t>
      </w:r>
      <w:r w:rsidR="00430BBC">
        <w:t xml:space="preserve">intergenerational trauma and systemic racism while building on community strengths and self-determination. </w:t>
      </w:r>
    </w:p>
    <w:p w14:paraId="6B877640" w14:textId="35705A66" w:rsidR="0066174E" w:rsidRDefault="0066174E" w:rsidP="0066174E">
      <w:r>
        <w:t>The Second Action Plan must prioritise:</w:t>
      </w:r>
    </w:p>
    <w:p w14:paraId="2D0E1E88" w14:textId="180EBF5D" w:rsidR="0066174E" w:rsidRDefault="0066174E" w:rsidP="00DB6C25">
      <w:pPr>
        <w:pStyle w:val="ListParagraph"/>
        <w:numPr>
          <w:ilvl w:val="0"/>
          <w:numId w:val="9"/>
        </w:numPr>
      </w:pPr>
      <w:r>
        <w:t>Aboriginal-led</w:t>
      </w:r>
      <w:r w:rsidR="00B709B0">
        <w:t xml:space="preserve"> and culturally grounded</w:t>
      </w:r>
      <w:r>
        <w:t xml:space="preserve"> models of care</w:t>
      </w:r>
      <w:r w:rsidR="00B709B0">
        <w:t>.</w:t>
      </w:r>
    </w:p>
    <w:p w14:paraId="4C341743" w14:textId="7AF681EB" w:rsidR="0066174E" w:rsidRDefault="00B709B0" w:rsidP="00DB6C25">
      <w:pPr>
        <w:pStyle w:val="ListParagraph"/>
        <w:numPr>
          <w:ilvl w:val="0"/>
          <w:numId w:val="9"/>
        </w:numPr>
      </w:pPr>
      <w:r>
        <w:t>Stronger partnerships between Justice Health services and Aboriginal Community</w:t>
      </w:r>
      <w:r w:rsidR="0066174E">
        <w:t xml:space="preserve"> Controlled Health Organisations</w:t>
      </w:r>
      <w:r>
        <w:t>.</w:t>
      </w:r>
    </w:p>
    <w:p w14:paraId="6031EF33" w14:textId="620FB42D" w:rsidR="0066174E" w:rsidRDefault="0066174E" w:rsidP="00DB6C25">
      <w:pPr>
        <w:pStyle w:val="ListParagraph"/>
        <w:numPr>
          <w:ilvl w:val="0"/>
          <w:numId w:val="9"/>
        </w:numPr>
      </w:pPr>
      <w:r>
        <w:t>Workforce development</w:t>
      </w:r>
      <w:r w:rsidR="00B709B0">
        <w:t xml:space="preserve"> initiatives </w:t>
      </w:r>
      <w:r>
        <w:t>address</w:t>
      </w:r>
      <w:r w:rsidR="00430BBC">
        <w:t>ing</w:t>
      </w:r>
      <w:r>
        <w:t xml:space="preserve"> institutional racism,</w:t>
      </w:r>
      <w:r w:rsidR="00B709B0">
        <w:t xml:space="preserve"> bias </w:t>
      </w:r>
      <w:r>
        <w:t>and misidentification</w:t>
      </w:r>
      <w:r w:rsidR="00B709B0">
        <w:t>.</w:t>
      </w:r>
    </w:p>
    <w:p w14:paraId="7E508D95" w14:textId="77777777" w:rsidR="00430BBC" w:rsidRDefault="00B709B0" w:rsidP="00DB6C25">
      <w:pPr>
        <w:pStyle w:val="ListParagraph"/>
        <w:numPr>
          <w:ilvl w:val="0"/>
          <w:numId w:val="9"/>
        </w:numPr>
      </w:pPr>
      <w:r>
        <w:t>H</w:t>
      </w:r>
      <w:r w:rsidR="0066174E">
        <w:t>ealing-informed</w:t>
      </w:r>
      <w:r>
        <w:t xml:space="preserve"> </w:t>
      </w:r>
      <w:r w:rsidR="0066174E">
        <w:t xml:space="preserve">approaches that </w:t>
      </w:r>
      <w:r w:rsidR="00430BBC">
        <w:t>support connection to culture,</w:t>
      </w:r>
      <w:r>
        <w:t xml:space="preserve"> family, community.</w:t>
      </w:r>
    </w:p>
    <w:p w14:paraId="44A942DB" w14:textId="524EE1F0" w:rsidR="00B709B0" w:rsidRDefault="00430BBC" w:rsidP="00DB6C25">
      <w:pPr>
        <w:pStyle w:val="ListParagraph"/>
        <w:numPr>
          <w:ilvl w:val="0"/>
          <w:numId w:val="9"/>
        </w:numPr>
      </w:pPr>
      <w:r>
        <w:t>Improved continuity of care and support following release.</w:t>
      </w:r>
      <w:r w:rsidR="00B709B0">
        <w:t xml:space="preserve"> </w:t>
      </w:r>
    </w:p>
    <w:p w14:paraId="624B6857" w14:textId="322B6FBA" w:rsidR="001655E9" w:rsidRDefault="001655E9" w:rsidP="00B10E94">
      <w:r>
        <w:t>Conclusion</w:t>
      </w:r>
    </w:p>
    <w:p w14:paraId="02AC480E" w14:textId="0D1E6668" w:rsidR="000B66F7" w:rsidRPr="00B709B0" w:rsidRDefault="00B709B0" w:rsidP="00B10E94">
      <w:r w:rsidRPr="00B709B0">
        <w:t>To achieve the National</w:t>
      </w:r>
      <w:r>
        <w:t xml:space="preserve"> Plan’s vision of safety, heal</w:t>
      </w:r>
      <w:r w:rsidR="00430BBC">
        <w:t>ing</w:t>
      </w:r>
      <w:r>
        <w:t xml:space="preserve"> and recovery for all victim-survivors, custodial settings must be recognised as an important part of the broader service system. </w:t>
      </w:r>
      <w:r w:rsidR="00744819">
        <w:t>Explicit recognition of custodial health</w:t>
      </w:r>
      <w:r w:rsidR="00CB706C">
        <w:t xml:space="preserve"> </w:t>
      </w:r>
      <w:r w:rsidR="00744819">
        <w:t>services is necessary because they are not consistently included within references to community health or broader health system responses, despite being a critical point of contact for victim-survivors with high and complex needs.</w:t>
      </w:r>
      <w:r w:rsidR="0093165B">
        <w:t xml:space="preserve"> </w:t>
      </w:r>
      <w:r>
        <w:t>Victim-survivors in custody are often among the leas</w:t>
      </w:r>
      <w:r w:rsidR="00430BBC">
        <w:t>t visible and least</w:t>
      </w:r>
      <w:r>
        <w:t xml:space="preserve"> likely to have previously accessed support, yet they represent a</w:t>
      </w:r>
      <w:r w:rsidR="00430BBC">
        <w:t>n important opportunity for identification, engagement and recovery</w:t>
      </w:r>
      <w:r>
        <w:t>. Strengthening trauma-informed custodial healthcare</w:t>
      </w:r>
      <w:r w:rsidR="00430BBC">
        <w:t xml:space="preserve"> and embedding custodial settings within broader DFSV reform </w:t>
      </w:r>
      <w:r>
        <w:t xml:space="preserve">efforts will help ensure that no victim-survivor is </w:t>
      </w:r>
      <w:r w:rsidR="00430BBC">
        <w:t>overlooked</w:t>
      </w:r>
      <w:r>
        <w:t xml:space="preserve">. </w:t>
      </w:r>
    </w:p>
    <w:p w14:paraId="0FADCED1" w14:textId="77777777" w:rsidR="00F94A70" w:rsidRDefault="00F94A70" w:rsidP="00B10E94">
      <w:pPr>
        <w:rPr>
          <w:b/>
          <w:bCs/>
          <w:sz w:val="28"/>
          <w:szCs w:val="28"/>
        </w:rPr>
      </w:pPr>
    </w:p>
    <w:p w14:paraId="4B0BBA5F" w14:textId="77777777" w:rsidR="00345219" w:rsidRDefault="00345219" w:rsidP="00B10E94">
      <w:pPr>
        <w:rPr>
          <w:b/>
          <w:bCs/>
          <w:sz w:val="28"/>
          <w:szCs w:val="28"/>
        </w:rPr>
      </w:pPr>
    </w:p>
    <w:p w14:paraId="1894E4C3" w14:textId="77777777" w:rsidR="00C53C9D" w:rsidRDefault="00C53C9D" w:rsidP="00B10E94">
      <w:pPr>
        <w:rPr>
          <w:b/>
          <w:bCs/>
          <w:sz w:val="28"/>
          <w:szCs w:val="28"/>
        </w:rPr>
      </w:pPr>
    </w:p>
    <w:p w14:paraId="08E42619" w14:textId="77777777" w:rsidR="00C53C9D" w:rsidRDefault="00C53C9D" w:rsidP="00B10E94">
      <w:pPr>
        <w:rPr>
          <w:b/>
          <w:bCs/>
          <w:sz w:val="28"/>
          <w:szCs w:val="28"/>
        </w:rPr>
      </w:pPr>
    </w:p>
    <w:p w14:paraId="293F9CB4" w14:textId="77777777" w:rsidR="00C53C9D" w:rsidRDefault="00C53C9D" w:rsidP="00B10E94">
      <w:pPr>
        <w:rPr>
          <w:b/>
          <w:bCs/>
          <w:sz w:val="28"/>
          <w:szCs w:val="28"/>
        </w:rPr>
      </w:pPr>
    </w:p>
    <w:p w14:paraId="35DD6BDC" w14:textId="77777777" w:rsidR="0093165B" w:rsidRDefault="0093165B" w:rsidP="00B10E94">
      <w:pPr>
        <w:rPr>
          <w:b/>
          <w:bCs/>
          <w:sz w:val="28"/>
          <w:szCs w:val="28"/>
        </w:rPr>
      </w:pPr>
    </w:p>
    <w:p w14:paraId="534F1B48" w14:textId="77777777" w:rsidR="00345219" w:rsidRDefault="00345219" w:rsidP="00B10E94">
      <w:pPr>
        <w:rPr>
          <w:b/>
          <w:bCs/>
          <w:sz w:val="28"/>
          <w:szCs w:val="28"/>
        </w:rPr>
      </w:pPr>
    </w:p>
    <w:p w14:paraId="2FB959C9" w14:textId="65C789C8" w:rsidR="00B10E94" w:rsidRPr="00B532A7" w:rsidRDefault="00B10E94" w:rsidP="00B10E94">
      <w:pPr>
        <w:rPr>
          <w:b/>
          <w:bCs/>
          <w:sz w:val="28"/>
          <w:szCs w:val="28"/>
        </w:rPr>
      </w:pPr>
      <w:r w:rsidRPr="00B532A7">
        <w:rPr>
          <w:b/>
          <w:bCs/>
          <w:sz w:val="28"/>
          <w:szCs w:val="28"/>
        </w:rPr>
        <w:t>Priority Area 2: Prevention and early intervention</w:t>
      </w:r>
    </w:p>
    <w:p w14:paraId="74B639DA" w14:textId="77777777" w:rsidR="00B10E94" w:rsidRPr="00B532A7" w:rsidRDefault="00B10E94" w:rsidP="00B10E94">
      <w:pPr>
        <w:rPr>
          <w:b/>
          <w:bCs/>
        </w:rPr>
      </w:pPr>
      <w:r w:rsidRPr="00B532A7">
        <w:rPr>
          <w:b/>
          <w:bCs/>
        </w:rPr>
        <w:t>When providing your feedback on this area, you might like to consider:</w:t>
      </w:r>
    </w:p>
    <w:p w14:paraId="0DD64521" w14:textId="77777777" w:rsidR="00B10E94" w:rsidRPr="00B532A7" w:rsidRDefault="00B10E94" w:rsidP="00B10E94">
      <w:pPr>
        <w:numPr>
          <w:ilvl w:val="0"/>
          <w:numId w:val="2"/>
        </w:numPr>
        <w:rPr>
          <w:b/>
          <w:bCs/>
        </w:rPr>
      </w:pPr>
      <w:r w:rsidRPr="00B532A7">
        <w:rPr>
          <w:b/>
          <w:bCs/>
        </w:rPr>
        <w:t>What would make the biggest difference in preventing and ultimately ending violence?</w:t>
      </w:r>
    </w:p>
    <w:p w14:paraId="7026A9E0" w14:textId="77777777" w:rsidR="00B10E94" w:rsidRPr="00B532A7" w:rsidRDefault="00B10E94" w:rsidP="00B10E94">
      <w:pPr>
        <w:numPr>
          <w:ilvl w:val="0"/>
          <w:numId w:val="2"/>
        </w:numPr>
        <w:rPr>
          <w:b/>
          <w:bCs/>
        </w:rPr>
      </w:pPr>
      <w:r w:rsidRPr="00B532A7">
        <w:rPr>
          <w:b/>
          <w:bCs/>
        </w:rPr>
        <w:t>How can existing efforts to prevent violence be strengthened or built upon at the individual, community, organisational, institutional and societal levels?</w:t>
      </w:r>
    </w:p>
    <w:p w14:paraId="164FDAA2" w14:textId="77777777" w:rsidR="00B10E94" w:rsidRPr="00B532A7" w:rsidRDefault="00B10E94" w:rsidP="00B10E94">
      <w:pPr>
        <w:numPr>
          <w:ilvl w:val="0"/>
          <w:numId w:val="2"/>
        </w:numPr>
        <w:rPr>
          <w:b/>
          <w:bCs/>
        </w:rPr>
      </w:pPr>
      <w:r w:rsidRPr="00B532A7">
        <w:rPr>
          <w:b/>
          <w:bCs/>
        </w:rPr>
        <w:t>How can governments, communities, schools, workplaces, online platforms and others better support people to recognise and respond to harmful attitudes and behaviours?</w:t>
      </w:r>
    </w:p>
    <w:p w14:paraId="10832DD4" w14:textId="77777777" w:rsidR="00B10E94" w:rsidRPr="00B532A7" w:rsidRDefault="00B10E94" w:rsidP="00B10E94">
      <w:pPr>
        <w:numPr>
          <w:ilvl w:val="0"/>
          <w:numId w:val="2"/>
        </w:numPr>
        <w:rPr>
          <w:b/>
          <w:bCs/>
        </w:rPr>
      </w:pPr>
      <w:r w:rsidRPr="00B532A7">
        <w:rPr>
          <w:b/>
          <w:bCs/>
        </w:rPr>
        <w:t>What prevention and early intervention approaches appear most promising or effective, and what is needed to strengthen or expand them?</w:t>
      </w:r>
    </w:p>
    <w:p w14:paraId="1381E19B" w14:textId="77777777" w:rsidR="00B10E94" w:rsidRDefault="00B10E94" w:rsidP="00B10E94">
      <w:pPr>
        <w:rPr>
          <w:b/>
          <w:bCs/>
        </w:rPr>
      </w:pPr>
      <w:r w:rsidRPr="00B532A7">
        <w:rPr>
          <w:b/>
          <w:bCs/>
        </w:rPr>
        <w:t>What emerging issues should the Second Action Plan address in relation to primary prevention and early intervention?</w:t>
      </w:r>
    </w:p>
    <w:p w14:paraId="758D444F" w14:textId="4F29288B" w:rsidR="00621BC8" w:rsidRDefault="00430BBC" w:rsidP="00F94A70">
      <w:r>
        <w:t xml:space="preserve">Preventing </w:t>
      </w:r>
      <w:r w:rsidR="00A132D4">
        <w:t>DFSV</w:t>
      </w:r>
      <w:r>
        <w:t xml:space="preserve"> requires sustained action across </w:t>
      </w:r>
      <w:r w:rsidR="00A132D4">
        <w:t>the prevention continuum.</w:t>
      </w:r>
      <w:r>
        <w:t xml:space="preserve"> Primary prevention</w:t>
      </w:r>
      <w:r w:rsidR="00A132D4">
        <w:t xml:space="preserve"> remains fundamental and should continue to focus on addressing the underlying drivers of violence through gender equality, respectful relationship</w:t>
      </w:r>
      <w:r w:rsidR="00621BC8">
        <w:t xml:space="preserve">s education, community awareness and broader social and structural reform. However, prevention also depends on effective secondary and tertiary responses that identify violence early, respond to trauma and interrupt pathways that contribute to ongoing victimisation, use of violence and intergenerational disadvantage. Health services play a critical role in this continuum through early identification, clinical intervention, treatment and recovery. </w:t>
      </w:r>
    </w:p>
    <w:p w14:paraId="724F852F" w14:textId="2AE24404" w:rsidR="00F94A70" w:rsidRPr="00F94A70" w:rsidRDefault="009C12D1" w:rsidP="00F94A70">
      <w:r>
        <w:t>C</w:t>
      </w:r>
      <w:r w:rsidR="00621BC8">
        <w:t xml:space="preserve">ustodial health services represent an under-recognised component of Australia’s prevention system. Although correctional settings are not primary prevention environments, they provide unique opportunities to identify people affected by DFSV who have often experienced longstanding barriers to healthcare. Many individuals entering custody present with complex trauma, </w:t>
      </w:r>
      <w:r w:rsidR="00E84199">
        <w:t>mental illness</w:t>
      </w:r>
      <w:r w:rsidR="00621BC8">
        <w:t xml:space="preserve">, substance use disorders, </w:t>
      </w:r>
      <w:r>
        <w:t>disability</w:t>
      </w:r>
      <w:r w:rsidR="00621BC8">
        <w:t xml:space="preserve"> and significant health inequities that have remained untreated despite repeated contact with multiple service systems. For many, custody represents the first sustained opportunity to engage with healthcare.  </w:t>
      </w:r>
      <w:r w:rsidR="00E84199">
        <w:t xml:space="preserve"> Through comprehensive assessment, treatment, referral and continuity of care, custodial health services </w:t>
      </w:r>
      <w:r w:rsidR="00621BC8">
        <w:t>contribute to secondary prevention through earlier identification</w:t>
      </w:r>
      <w:r w:rsidR="00786ACC">
        <w:t xml:space="preserve"> of violence and associated health needs, and to tertiary prevention by supporting recovery, reducing health inequities and strengthening protective factors that reduce future victimisation, ongoing use of violence and repeated justice involvement</w:t>
      </w:r>
      <w:r w:rsidR="00E84199">
        <w:t xml:space="preserve">. </w:t>
      </w:r>
    </w:p>
    <w:p w14:paraId="7C148C1B" w14:textId="45582738" w:rsidR="0022742C" w:rsidRDefault="00786ACC" w:rsidP="0022742C">
      <w:r>
        <w:lastRenderedPageBreak/>
        <w:t>Importantly, Justice Health does not replace specialist DFSV service or primary prevention initiatives. Rather, it complements these responses by ensuring that individuals who have become disconnected from mainstream services are identified, receive evidence-informed healthcare and a</w:t>
      </w:r>
      <w:r w:rsidR="009C12D1">
        <w:t>r</w:t>
      </w:r>
      <w:r>
        <w:t xml:space="preserve">e linked with appropriate community supports. </w:t>
      </w:r>
    </w:p>
    <w:p w14:paraId="143AB40B" w14:textId="77777777" w:rsidR="00F94A70" w:rsidRPr="00F94A70" w:rsidRDefault="00F94A70" w:rsidP="00F94A70">
      <w:pPr>
        <w:rPr>
          <w:i/>
          <w:iCs/>
        </w:rPr>
      </w:pPr>
      <w:r w:rsidRPr="00F94A70">
        <w:rPr>
          <w:i/>
          <w:iCs/>
        </w:rPr>
        <w:t>What Would Make the Biggest Difference in Preventing and Ultimately Ending Violence?</w:t>
      </w:r>
    </w:p>
    <w:p w14:paraId="2B19B694" w14:textId="60D82D62" w:rsidR="00F94A70" w:rsidRPr="00F94A70" w:rsidRDefault="00786ACC" w:rsidP="00F94A70">
      <w:r>
        <w:t>The Second Action Plan should strengthen prevention by recognising the contribution of health services across the prevention continuum</w:t>
      </w:r>
      <w:r w:rsidR="00F94A70" w:rsidRPr="00F94A70">
        <w:t>.</w:t>
      </w:r>
    </w:p>
    <w:p w14:paraId="147E2888" w14:textId="5AC4AF21" w:rsidR="00F94A70" w:rsidRPr="00F94A70" w:rsidRDefault="00786ACC" w:rsidP="00F94A70">
      <w:r>
        <w:t>Priority actions</w:t>
      </w:r>
      <w:r w:rsidR="00F94A70" w:rsidRPr="00F94A70">
        <w:t xml:space="preserve"> include:</w:t>
      </w:r>
    </w:p>
    <w:p w14:paraId="41052626" w14:textId="17444987" w:rsidR="0060550C" w:rsidRDefault="00786ACC" w:rsidP="001D1AC2">
      <w:pPr>
        <w:pStyle w:val="ListParagraph"/>
        <w:numPr>
          <w:ilvl w:val="0"/>
          <w:numId w:val="28"/>
        </w:numPr>
      </w:pPr>
      <w:r>
        <w:t>Maintaining investment in primary prevention initiatives that address gender in</w:t>
      </w:r>
      <w:r w:rsidR="0060550C">
        <w:t>equality</w:t>
      </w:r>
      <w:r>
        <w:t>, promote respectful relationships and</w:t>
      </w:r>
      <w:r w:rsidR="0060550C">
        <w:t xml:space="preserve"> challeng</w:t>
      </w:r>
      <w:r>
        <w:t>es</w:t>
      </w:r>
      <w:r w:rsidR="0060550C">
        <w:t xml:space="preserve"> attitudes, norms and behaviours that condone violence against women and children.</w:t>
      </w:r>
    </w:p>
    <w:p w14:paraId="46E597F0" w14:textId="2454585E" w:rsidR="00F94A70" w:rsidRDefault="0060550C" w:rsidP="001D1AC2">
      <w:pPr>
        <w:pStyle w:val="ListParagraph"/>
        <w:numPr>
          <w:ilvl w:val="0"/>
          <w:numId w:val="28"/>
        </w:numPr>
      </w:pPr>
      <w:r>
        <w:t xml:space="preserve">Strengthening </w:t>
      </w:r>
      <w:r w:rsidR="00786ACC">
        <w:t xml:space="preserve">secondary prevention through earlier identification of DFSV, trauma, and cumulative adversity within </w:t>
      </w:r>
      <w:r w:rsidR="0093165B">
        <w:t xml:space="preserve">all </w:t>
      </w:r>
      <w:r w:rsidR="00786ACC">
        <w:t>healthcare settings</w:t>
      </w:r>
      <w:r w:rsidR="00F94A70" w:rsidRPr="00F94A70">
        <w:t>.</w:t>
      </w:r>
    </w:p>
    <w:p w14:paraId="772F5F16" w14:textId="2A9D40AA" w:rsidR="00C37787" w:rsidRPr="00F94A70" w:rsidRDefault="00B72093" w:rsidP="001D1AC2">
      <w:pPr>
        <w:pStyle w:val="ListParagraph"/>
        <w:numPr>
          <w:ilvl w:val="0"/>
          <w:numId w:val="28"/>
        </w:numPr>
      </w:pPr>
      <w:r>
        <w:t>Improving access to</w:t>
      </w:r>
      <w:r w:rsidR="00C37787">
        <w:t xml:space="preserve"> trauma-informed, culturally safe and evidence-based healthcare </w:t>
      </w:r>
      <w:r>
        <w:t xml:space="preserve">that addresses </w:t>
      </w:r>
      <w:r w:rsidR="00C37787">
        <w:t xml:space="preserve">mental </w:t>
      </w:r>
      <w:r>
        <w:t>illness</w:t>
      </w:r>
      <w:r w:rsidR="00C37787">
        <w:t xml:space="preserve">, </w:t>
      </w:r>
      <w:r>
        <w:t>substance abuse</w:t>
      </w:r>
      <w:r w:rsidR="00C37787">
        <w:t>,</w:t>
      </w:r>
      <w:r>
        <w:t xml:space="preserve"> disability</w:t>
      </w:r>
      <w:r w:rsidR="00C37787">
        <w:t xml:space="preserve"> and </w:t>
      </w:r>
      <w:r>
        <w:t>the long-term health impacts of violence</w:t>
      </w:r>
      <w:r w:rsidR="00C37787">
        <w:t xml:space="preserve">. </w:t>
      </w:r>
    </w:p>
    <w:p w14:paraId="7102A44E" w14:textId="319988BC" w:rsidR="00F94A70" w:rsidRPr="00F94A70" w:rsidRDefault="00B72093" w:rsidP="001D1AC2">
      <w:pPr>
        <w:pStyle w:val="ListParagraph"/>
        <w:numPr>
          <w:ilvl w:val="0"/>
          <w:numId w:val="28"/>
        </w:numPr>
      </w:pPr>
      <w:r>
        <w:t>Recognising custodial health services as important contributors to secondary and tertiary prevention through assessment, treatment, referral and coordinated care</w:t>
      </w:r>
      <w:r w:rsidR="00F94A70" w:rsidRPr="00F94A70">
        <w:t>.</w:t>
      </w:r>
    </w:p>
    <w:p w14:paraId="244F7480" w14:textId="7BE7DCD9" w:rsidR="0060550C" w:rsidRDefault="00B72093" w:rsidP="001D1AC2">
      <w:pPr>
        <w:pStyle w:val="ListParagraph"/>
        <w:numPr>
          <w:ilvl w:val="0"/>
          <w:numId w:val="28"/>
        </w:numPr>
      </w:pPr>
      <w:r>
        <w:t xml:space="preserve">Supporting continuity of care between custodial and community health services to reduce disengagement following release and strengthen long-term recovery. </w:t>
      </w:r>
    </w:p>
    <w:p w14:paraId="0913C067" w14:textId="77777777" w:rsidR="00F94A70" w:rsidRPr="00F94A70" w:rsidRDefault="00F94A70" w:rsidP="00F94A70">
      <w:pPr>
        <w:rPr>
          <w:i/>
          <w:iCs/>
        </w:rPr>
      </w:pPr>
      <w:r w:rsidRPr="00F94A70">
        <w:rPr>
          <w:i/>
          <w:iCs/>
        </w:rPr>
        <w:t>Strengthening Prevention Across Systems and Institutions</w:t>
      </w:r>
    </w:p>
    <w:p w14:paraId="7A950F4F" w14:textId="36BC5BDF" w:rsidR="00B72093" w:rsidRDefault="00DE788B" w:rsidP="00F94A70">
      <w:r>
        <w:t>Violence prevention requires coordinated action across governments, communities, schools, workplaces, healthcare services, specialist services and justice systems.</w:t>
      </w:r>
      <w:r w:rsidR="00B72093">
        <w:t xml:space="preserve"> Rather than creating new stand-alon</w:t>
      </w:r>
      <w:r w:rsidR="009C12D1">
        <w:t>e</w:t>
      </w:r>
      <w:r w:rsidR="00B72093">
        <w:t xml:space="preserve"> programs, the Second Action Plan should strengthen the capacity of existing health systems to identify violence, respond to trauma and coordinate ongoing care.</w:t>
      </w:r>
    </w:p>
    <w:p w14:paraId="55C8EC42" w14:textId="731D47DC" w:rsidR="00F94A70" w:rsidRPr="00F94A70" w:rsidRDefault="00F94A70" w:rsidP="00F94A70">
      <w:r w:rsidRPr="00F94A70">
        <w:t>The National Plan should recognise custodial health services as important contributors to violence prevention and early intervention.</w:t>
      </w:r>
    </w:p>
    <w:p w14:paraId="181C8CB3" w14:textId="77777777" w:rsidR="00F94A70" w:rsidRPr="00F94A70" w:rsidRDefault="00F94A70" w:rsidP="00F94A70">
      <w:r w:rsidRPr="00F94A70">
        <w:t>Existing prevention efforts could be strengthened through:</w:t>
      </w:r>
    </w:p>
    <w:p w14:paraId="1A4E7803" w14:textId="7678B641" w:rsidR="00F94A70" w:rsidRPr="00F94A70" w:rsidRDefault="00F94A70" w:rsidP="001D1AC2">
      <w:pPr>
        <w:numPr>
          <w:ilvl w:val="0"/>
          <w:numId w:val="17"/>
        </w:numPr>
      </w:pPr>
      <w:r w:rsidRPr="00F94A70">
        <w:t>Embedding trauma-informed and violence-informed approaches across health</w:t>
      </w:r>
      <w:r w:rsidR="00DE788B">
        <w:t>care</w:t>
      </w:r>
      <w:r w:rsidRPr="00F94A70">
        <w:t xml:space="preserve"> services.</w:t>
      </w:r>
    </w:p>
    <w:p w14:paraId="4F5EBB6B" w14:textId="688F359C" w:rsidR="00F94A70" w:rsidRPr="00F94A70" w:rsidRDefault="00F94A70" w:rsidP="00F94A70">
      <w:r w:rsidRPr="00F94A70">
        <w:t>Many people experienc</w:t>
      </w:r>
      <w:r w:rsidR="00DE788B">
        <w:t xml:space="preserve">ing violence engage with healthcare services long before they access specialist supports. </w:t>
      </w:r>
      <w:r w:rsidRPr="00F94A70">
        <w:t xml:space="preserve">Routine trauma-informed care can </w:t>
      </w:r>
      <w:r w:rsidR="00DE788B">
        <w:t>support earlier identification, intervention and referral</w:t>
      </w:r>
      <w:r w:rsidRPr="00F94A70">
        <w:t>.</w:t>
      </w:r>
    </w:p>
    <w:p w14:paraId="3AE613EB" w14:textId="52CE667A" w:rsidR="00F94A70" w:rsidRPr="00F94A70" w:rsidRDefault="00F94A70" w:rsidP="001D1AC2">
      <w:pPr>
        <w:pStyle w:val="ListParagraph"/>
        <w:numPr>
          <w:ilvl w:val="0"/>
          <w:numId w:val="17"/>
        </w:numPr>
      </w:pPr>
      <w:r w:rsidRPr="00F94A70">
        <w:lastRenderedPageBreak/>
        <w:t xml:space="preserve">Integrating prevention initiatives into existing </w:t>
      </w:r>
      <w:r w:rsidR="00DE788B">
        <w:t>service delivery</w:t>
      </w:r>
      <w:r w:rsidRPr="00F94A70">
        <w:t>.</w:t>
      </w:r>
    </w:p>
    <w:p w14:paraId="2796F2F4" w14:textId="77777777" w:rsidR="00F94A70" w:rsidRPr="00F94A70" w:rsidRDefault="00F94A70" w:rsidP="00F94A70">
      <w:r w:rsidRPr="00F94A70">
        <w:t>Opportunities exist to incorporate healthy relationship education, emotional wellbeing interventions, parenting support, substance use treatment and mental health services into broader healthcare delivery models.</w:t>
      </w:r>
    </w:p>
    <w:p w14:paraId="64F34066" w14:textId="533BDB9D" w:rsidR="00F94A70" w:rsidRPr="00F94A70" w:rsidRDefault="00F94A70" w:rsidP="001D1AC2">
      <w:pPr>
        <w:pStyle w:val="ListParagraph"/>
        <w:numPr>
          <w:ilvl w:val="0"/>
          <w:numId w:val="17"/>
        </w:numPr>
      </w:pPr>
      <w:r w:rsidRPr="00F94A70">
        <w:t>Strengthening partnerships</w:t>
      </w:r>
      <w:r w:rsidR="00DE788B">
        <w:t xml:space="preserve"> across sectors</w:t>
      </w:r>
      <w:r w:rsidRPr="00F94A70">
        <w:t>.</w:t>
      </w:r>
    </w:p>
    <w:p w14:paraId="62FA6703" w14:textId="05159F2D" w:rsidR="00F94A70" w:rsidRPr="00F94A70" w:rsidRDefault="00DE788B" w:rsidP="00F94A70">
      <w:r>
        <w:t xml:space="preserve">No single system can prevent violence alone. Effective prevention requires </w:t>
      </w:r>
      <w:r w:rsidR="00F94A70" w:rsidRPr="00F94A70">
        <w:t>integrated responses</w:t>
      </w:r>
      <w:r>
        <w:t xml:space="preserve"> across</w:t>
      </w:r>
      <w:r w:rsidRPr="00F94A70">
        <w:t xml:space="preserve"> health, justice, education,</w:t>
      </w:r>
      <w:r w:rsidR="007A1716">
        <w:t xml:space="preserve"> child protection, specialist DFSV services and Aboriginal Community Controlled Organisations</w:t>
      </w:r>
      <w:r w:rsidR="00F94A70" w:rsidRPr="00F94A70">
        <w:t>.</w:t>
      </w:r>
    </w:p>
    <w:p w14:paraId="3B4ED5C0" w14:textId="22523EB3" w:rsidR="00F94A70" w:rsidRDefault="00F94A70" w:rsidP="001D1AC2">
      <w:pPr>
        <w:pStyle w:val="ListParagraph"/>
        <w:numPr>
          <w:ilvl w:val="0"/>
          <w:numId w:val="17"/>
        </w:numPr>
      </w:pPr>
      <w:r w:rsidRPr="00F94A70">
        <w:t>Supporting continuity of care and intervention.</w:t>
      </w:r>
    </w:p>
    <w:p w14:paraId="5A6B03A9" w14:textId="455AB88F" w:rsidR="00F94A70" w:rsidRDefault="007A1716" w:rsidP="00F94A70">
      <w:r>
        <w:t xml:space="preserve">Individuals who engage with services during periods of crisis or instability often experience fragmented support. </w:t>
      </w:r>
      <w:r w:rsidR="00F94A70" w:rsidRPr="00F94A70">
        <w:t xml:space="preserve">Prevention efforts should </w:t>
      </w:r>
      <w:r>
        <w:t>include coordinated care pathways that extend b</w:t>
      </w:r>
      <w:r w:rsidR="00F94A70" w:rsidRPr="00F94A70">
        <w:t>eyond</w:t>
      </w:r>
      <w:r>
        <w:t xml:space="preserve"> individual service episodes and support long-term wellbeing</w:t>
      </w:r>
      <w:r w:rsidR="002966E0">
        <w:t xml:space="preserve">. </w:t>
      </w:r>
    </w:p>
    <w:p w14:paraId="371DE065" w14:textId="77777777" w:rsidR="00F94A70" w:rsidRPr="007A1716" w:rsidRDefault="00F94A70" w:rsidP="00F94A70">
      <w:pPr>
        <w:rPr>
          <w:i/>
          <w:iCs/>
        </w:rPr>
      </w:pPr>
      <w:r w:rsidRPr="007A1716">
        <w:rPr>
          <w:i/>
          <w:iCs/>
        </w:rPr>
        <w:t>Supporting Recognition and Response to Harmful Attitudes and Behaviours</w:t>
      </w:r>
    </w:p>
    <w:p w14:paraId="10364E73" w14:textId="483C2B79" w:rsidR="00F94A70" w:rsidRDefault="00F94A70" w:rsidP="00F94A70">
      <w:r w:rsidRPr="00F94A70">
        <w:t>Governments, institutions</w:t>
      </w:r>
      <w:r w:rsidR="007A1716">
        <w:t>, communities</w:t>
      </w:r>
      <w:r w:rsidRPr="00F94A70">
        <w:t xml:space="preserve"> and service systems </w:t>
      </w:r>
      <w:r w:rsidR="007A1716">
        <w:t xml:space="preserve">all </w:t>
      </w:r>
      <w:r w:rsidRPr="00F94A70">
        <w:t>play an important role in creating environments where harmful attitudes and behaviours are recognised</w:t>
      </w:r>
      <w:r w:rsidR="007A1716">
        <w:t>,</w:t>
      </w:r>
      <w:r w:rsidRPr="00F94A70">
        <w:t xml:space="preserve"> challenged</w:t>
      </w:r>
      <w:r w:rsidR="007A1716">
        <w:t xml:space="preserve"> and addressed</w:t>
      </w:r>
      <w:r w:rsidRPr="00F94A70">
        <w:t>.</w:t>
      </w:r>
    </w:p>
    <w:p w14:paraId="29A6534A" w14:textId="6673C5BF" w:rsidR="007A1716" w:rsidRPr="00F94A70" w:rsidRDefault="007A1716" w:rsidP="00F94A70">
      <w:r>
        <w:t>Across all settings, prevention efforts should support people to:</w:t>
      </w:r>
    </w:p>
    <w:p w14:paraId="6C085081" w14:textId="66993BB1" w:rsidR="00F94A70" w:rsidRPr="00F94A70" w:rsidRDefault="00F94A70" w:rsidP="001D1AC2">
      <w:pPr>
        <w:numPr>
          <w:ilvl w:val="0"/>
          <w:numId w:val="16"/>
        </w:numPr>
      </w:pPr>
      <w:r w:rsidRPr="00F94A70">
        <w:t>Develop a</w:t>
      </w:r>
      <w:r w:rsidR="007A1716">
        <w:t>n</w:t>
      </w:r>
      <w:r w:rsidRPr="00F94A70">
        <w:t xml:space="preserve"> understanding of healthy</w:t>
      </w:r>
      <w:r w:rsidR="007A1716">
        <w:t>,</w:t>
      </w:r>
      <w:r w:rsidRPr="00F94A70">
        <w:t xml:space="preserve"> respectful</w:t>
      </w:r>
      <w:r w:rsidR="007A1716">
        <w:t xml:space="preserve"> and equitable</w:t>
      </w:r>
      <w:r w:rsidRPr="00F94A70">
        <w:t xml:space="preserve"> relationships.</w:t>
      </w:r>
    </w:p>
    <w:p w14:paraId="16056093" w14:textId="77777777" w:rsidR="00F94A70" w:rsidRPr="00F94A70" w:rsidRDefault="00F94A70" w:rsidP="001D1AC2">
      <w:pPr>
        <w:numPr>
          <w:ilvl w:val="0"/>
          <w:numId w:val="16"/>
        </w:numPr>
      </w:pPr>
      <w:r w:rsidRPr="00F94A70">
        <w:t>Recognise patterns of coercive control, abuse and violence.</w:t>
      </w:r>
    </w:p>
    <w:p w14:paraId="675696AE" w14:textId="2B51C955" w:rsidR="00F94A70" w:rsidRPr="00F94A70" w:rsidRDefault="00F94A70" w:rsidP="001D1AC2">
      <w:pPr>
        <w:numPr>
          <w:ilvl w:val="0"/>
          <w:numId w:val="16"/>
        </w:numPr>
      </w:pPr>
      <w:r w:rsidRPr="00F94A70">
        <w:t xml:space="preserve">Understand the impacts of violence on </w:t>
      </w:r>
      <w:r w:rsidR="007A1716">
        <w:t>women</w:t>
      </w:r>
      <w:r w:rsidRPr="00F94A70">
        <w:t>, children, families and communities.</w:t>
      </w:r>
    </w:p>
    <w:p w14:paraId="7FDF82A6" w14:textId="77777777" w:rsidR="00F94A70" w:rsidRPr="00F94A70" w:rsidRDefault="00F94A70" w:rsidP="001D1AC2">
      <w:pPr>
        <w:numPr>
          <w:ilvl w:val="0"/>
          <w:numId w:val="16"/>
        </w:numPr>
      </w:pPr>
      <w:r w:rsidRPr="00F94A70">
        <w:t>Build skills in emotional regulation, communication and conflict resolution.</w:t>
      </w:r>
    </w:p>
    <w:p w14:paraId="3CA41AA8" w14:textId="174A90D1" w:rsidR="00F94A70" w:rsidRPr="00F94A70" w:rsidRDefault="00F94A70" w:rsidP="001D1AC2">
      <w:pPr>
        <w:numPr>
          <w:ilvl w:val="0"/>
          <w:numId w:val="16"/>
        </w:numPr>
      </w:pPr>
      <w:r w:rsidRPr="00F94A70">
        <w:t xml:space="preserve">Strengthen </w:t>
      </w:r>
      <w:r w:rsidR="007A1716">
        <w:t>empathy, accountability and social connectedness.</w:t>
      </w:r>
    </w:p>
    <w:p w14:paraId="62402C31" w14:textId="0B00ACEC" w:rsidR="007A1716" w:rsidRPr="00F94A70" w:rsidRDefault="007A1716" w:rsidP="007A1716">
      <w:r w:rsidRPr="00F94A70">
        <w:t xml:space="preserve">Within custodial settings, </w:t>
      </w:r>
      <w:r>
        <w:t>these conversations can be incorporated into healthcare, wellbeing and therapeutic programs, while maintain</w:t>
      </w:r>
      <w:r w:rsidR="00976640">
        <w:t>ing</w:t>
      </w:r>
      <w:r>
        <w:t xml:space="preserve"> a person-centred, culturally safe and trauma-informed approach.</w:t>
      </w:r>
    </w:p>
    <w:p w14:paraId="6BB38D49" w14:textId="1528B21F" w:rsidR="007A1716" w:rsidRDefault="007A1716" w:rsidP="00F94A70">
      <w:r>
        <w:t xml:space="preserve">Importantly, prevention efforts should avoid simplistic distinctions between victimisation and perpetration. Many justice-involved individuals have experienced significant victimisation while also engaging in harmful behaviours. Effective responses must acknowledge this complexity while maintaining accountability and prioritising victim-survivor safety. </w:t>
      </w:r>
      <w:r w:rsidR="00937FCF">
        <w:t xml:space="preserve">Opportunities should also be supported for evidence-informed behaviour change interventions that strengthen accountability, emotional regulation, </w:t>
      </w:r>
      <w:r w:rsidR="00937FCF">
        <w:lastRenderedPageBreak/>
        <w:t xml:space="preserve">healthy relationships and non-violent behaviours alongside broader therapeutic and health responses. </w:t>
      </w:r>
    </w:p>
    <w:p w14:paraId="092EDF96" w14:textId="77777777" w:rsidR="00F94A70" w:rsidRPr="007A1716" w:rsidRDefault="00F94A70" w:rsidP="00F94A70">
      <w:pPr>
        <w:rPr>
          <w:i/>
          <w:iCs/>
        </w:rPr>
      </w:pPr>
      <w:r w:rsidRPr="007A1716">
        <w:rPr>
          <w:i/>
          <w:iCs/>
        </w:rPr>
        <w:t>Promising Prevention and Early Intervention Approaches</w:t>
      </w:r>
    </w:p>
    <w:p w14:paraId="66444280" w14:textId="77777777" w:rsidR="00F94A70" w:rsidRPr="00F94A70" w:rsidRDefault="00F94A70" w:rsidP="00F94A70">
      <w:r w:rsidRPr="00F94A70">
        <w:t>Several approaches demonstrate promise and warrant further investment and expansion:</w:t>
      </w:r>
    </w:p>
    <w:p w14:paraId="63B80D80" w14:textId="77777777" w:rsidR="00F94A70" w:rsidRPr="00F94A70" w:rsidRDefault="00F94A70" w:rsidP="001D1AC2">
      <w:pPr>
        <w:numPr>
          <w:ilvl w:val="0"/>
          <w:numId w:val="15"/>
        </w:numPr>
      </w:pPr>
      <w:r w:rsidRPr="00F94A70">
        <w:t>Trauma-informed care models that recognise the impacts of violence and adversity on health, behaviour and engagement with services.</w:t>
      </w:r>
    </w:p>
    <w:p w14:paraId="26EAE202" w14:textId="77777777" w:rsidR="00F94A70" w:rsidRPr="00F94A70" w:rsidRDefault="00F94A70" w:rsidP="001D1AC2">
      <w:pPr>
        <w:numPr>
          <w:ilvl w:val="0"/>
          <w:numId w:val="15"/>
        </w:numPr>
      </w:pPr>
      <w:r w:rsidRPr="00F94A70">
        <w:t>Aboriginal-led healing programs that strengthen cultural identity, connection and community-led responses to trauma and violence.</w:t>
      </w:r>
    </w:p>
    <w:p w14:paraId="7AB44F97" w14:textId="33F6960D" w:rsidR="00A60175" w:rsidRDefault="00A60175" w:rsidP="001D1AC2">
      <w:pPr>
        <w:numPr>
          <w:ilvl w:val="0"/>
          <w:numId w:val="15"/>
        </w:numPr>
      </w:pPr>
      <w:r>
        <w:t>Respectful relationship and health</w:t>
      </w:r>
      <w:r w:rsidR="00976640">
        <w:t>y</w:t>
      </w:r>
      <w:r>
        <w:t xml:space="preserve"> relationships programs delivered across educational, community and custodial settings. </w:t>
      </w:r>
    </w:p>
    <w:p w14:paraId="1BED3FE5" w14:textId="27930162" w:rsidR="00F94A70" w:rsidRPr="00F94A70" w:rsidRDefault="00F94A70" w:rsidP="001D1AC2">
      <w:pPr>
        <w:numPr>
          <w:ilvl w:val="0"/>
          <w:numId w:val="15"/>
        </w:numPr>
      </w:pPr>
      <w:r w:rsidRPr="00F94A70">
        <w:t>Integrated mental health and alcohol and other drug interventions</w:t>
      </w:r>
      <w:r w:rsidR="00A60175">
        <w:t xml:space="preserve"> </w:t>
      </w:r>
      <w:r w:rsidRPr="00F94A70">
        <w:t>where trauma and violence histories are present.</w:t>
      </w:r>
    </w:p>
    <w:p w14:paraId="77B8ED82" w14:textId="3A1798D7" w:rsidR="00F94A70" w:rsidRPr="00F94A70" w:rsidRDefault="00F94A70" w:rsidP="001D1AC2">
      <w:pPr>
        <w:numPr>
          <w:ilvl w:val="0"/>
          <w:numId w:val="15"/>
        </w:numPr>
      </w:pPr>
      <w:r w:rsidRPr="00F94A70">
        <w:t xml:space="preserve">Family-focused and parenting programs that </w:t>
      </w:r>
      <w:r w:rsidR="00A60175">
        <w:t>strengthen</w:t>
      </w:r>
      <w:r w:rsidRPr="00F94A70">
        <w:t xml:space="preserve"> relationships and reduce intergenerational transmission of violence.</w:t>
      </w:r>
    </w:p>
    <w:p w14:paraId="0C7C92B6" w14:textId="57A2A16D" w:rsidR="00F94A70" w:rsidRPr="00F94A70" w:rsidRDefault="00F94A70" w:rsidP="001D1AC2">
      <w:pPr>
        <w:numPr>
          <w:ilvl w:val="0"/>
          <w:numId w:val="15"/>
        </w:numPr>
      </w:pPr>
      <w:r w:rsidRPr="00F94A70">
        <w:t>Peer-led engagement models</w:t>
      </w:r>
      <w:r w:rsidR="00A60175">
        <w:t xml:space="preserve"> informed by lived experience</w:t>
      </w:r>
      <w:r w:rsidRPr="00F94A70">
        <w:t>.</w:t>
      </w:r>
    </w:p>
    <w:p w14:paraId="2214F49C" w14:textId="77777777" w:rsidR="00F94A70" w:rsidRPr="00F94A70" w:rsidRDefault="00F94A70" w:rsidP="001D1AC2">
      <w:pPr>
        <w:numPr>
          <w:ilvl w:val="0"/>
          <w:numId w:val="15"/>
        </w:numPr>
      </w:pPr>
      <w:r w:rsidRPr="00F94A70">
        <w:t>Throughcare and transition programs that maintain support before, during and after custody.</w:t>
      </w:r>
    </w:p>
    <w:p w14:paraId="18F8C9C2" w14:textId="3FDD6D82" w:rsidR="00F94A70" w:rsidRDefault="00F94A70" w:rsidP="001D1AC2">
      <w:pPr>
        <w:numPr>
          <w:ilvl w:val="0"/>
          <w:numId w:val="15"/>
        </w:numPr>
      </w:pPr>
      <w:r w:rsidRPr="00F94A70">
        <w:t>Early intervention approaches targeting</w:t>
      </w:r>
      <w:r w:rsidR="00A60175">
        <w:t xml:space="preserve"> children and</w:t>
      </w:r>
      <w:r w:rsidRPr="00F94A70">
        <w:t xml:space="preserve"> young people </w:t>
      </w:r>
      <w:r w:rsidR="00A60175">
        <w:t>affect</w:t>
      </w:r>
      <w:r w:rsidRPr="00F94A70">
        <w:t>ed</w:t>
      </w:r>
      <w:r w:rsidR="00A60175">
        <w:t xml:space="preserve"> by</w:t>
      </w:r>
      <w:r w:rsidRPr="00F94A70">
        <w:t xml:space="preserve"> violence, trauma, family disruption </w:t>
      </w:r>
      <w:r w:rsidR="00A60175">
        <w:t>and</w:t>
      </w:r>
      <w:r w:rsidRPr="00F94A70">
        <w:t xml:space="preserve"> justice involvement.</w:t>
      </w:r>
    </w:p>
    <w:p w14:paraId="38A0F84A" w14:textId="7D265454" w:rsidR="00937FCF" w:rsidRPr="00F94A70" w:rsidRDefault="00937FCF" w:rsidP="001D1AC2">
      <w:pPr>
        <w:numPr>
          <w:ilvl w:val="0"/>
          <w:numId w:val="15"/>
        </w:numPr>
      </w:pPr>
      <w:r>
        <w:t>Therapeutic and behaviour change interventions that support accountability while addressing impacts of trauma, mental illness and substance use.</w:t>
      </w:r>
    </w:p>
    <w:p w14:paraId="7A0C1C85" w14:textId="30A1A69C" w:rsidR="00937FCF" w:rsidRDefault="00F94A70" w:rsidP="00F94A70">
      <w:r w:rsidRPr="00F94A70">
        <w:t>To strengthen these approaches, greater investment is required in implementation</w:t>
      </w:r>
      <w:r w:rsidR="00A60175">
        <w:t xml:space="preserve">, </w:t>
      </w:r>
      <w:r w:rsidR="00A60175" w:rsidRPr="00F94A70">
        <w:t>evaluation,</w:t>
      </w:r>
      <w:r w:rsidRPr="00F94A70">
        <w:t xml:space="preserve"> workforce development and culturally responsive service design.</w:t>
      </w:r>
    </w:p>
    <w:p w14:paraId="0DB6D13B" w14:textId="73C5052C" w:rsidR="00A60175" w:rsidRDefault="00A60175" w:rsidP="00F94A70">
      <w:pPr>
        <w:rPr>
          <w:b/>
          <w:bCs/>
        </w:rPr>
      </w:pPr>
      <w:r>
        <w:rPr>
          <w:b/>
          <w:bCs/>
        </w:rPr>
        <w:t>Emerging Issues</w:t>
      </w:r>
    </w:p>
    <w:p w14:paraId="079EE5A9" w14:textId="77777777" w:rsidR="00A60175" w:rsidRPr="00A60175" w:rsidRDefault="00A60175" w:rsidP="00A60175">
      <w:pPr>
        <w:rPr>
          <w:i/>
          <w:iCs/>
        </w:rPr>
      </w:pPr>
      <w:r w:rsidRPr="00A60175">
        <w:rPr>
          <w:i/>
          <w:iCs/>
        </w:rPr>
        <w:t>Technology-Facilitated Abuse</w:t>
      </w:r>
    </w:p>
    <w:p w14:paraId="75DD37DE" w14:textId="77777777" w:rsidR="00A60175" w:rsidRPr="00A60175" w:rsidRDefault="00A60175" w:rsidP="00A60175">
      <w:r w:rsidRPr="00A60175">
        <w:t>Technology-facilitated abuse continues to evolve and increasingly forms part of broader patterns of coercive control. Prevention efforts should include digital literacy, online safety education and public awareness initiatives that support individuals, families and communities to recognise and respond to emerging forms of abuse.</w:t>
      </w:r>
    </w:p>
    <w:p w14:paraId="42B537AF" w14:textId="73CBF6ED" w:rsidR="00A60175" w:rsidRDefault="00A60175" w:rsidP="00A60175">
      <w:r w:rsidRPr="00A60175">
        <w:t>Young people are particularly affected by online harms, including image-based abuse, online exploitation, cyberbullying and abuse within peer and dating relationships.</w:t>
      </w:r>
      <w:r w:rsidR="0093165B">
        <w:t xml:space="preserve"> </w:t>
      </w:r>
      <w:r w:rsidRPr="00A60175">
        <w:lastRenderedPageBreak/>
        <w:t>Prevention initiatives should address these risks alongside broader respectful relationships education.</w:t>
      </w:r>
    </w:p>
    <w:p w14:paraId="1C18FC86" w14:textId="6E436EB9" w:rsidR="00F65C69" w:rsidRPr="00F65C69" w:rsidRDefault="00F65C69" w:rsidP="00A60175">
      <w:pPr>
        <w:rPr>
          <w:i/>
          <w:iCs/>
        </w:rPr>
      </w:pPr>
      <w:r w:rsidRPr="00F65C69">
        <w:rPr>
          <w:i/>
          <w:iCs/>
        </w:rPr>
        <w:t>Reproductive Coercion</w:t>
      </w:r>
    </w:p>
    <w:p w14:paraId="7190A05F" w14:textId="5F55F976" w:rsidR="00F65C69" w:rsidRPr="00A60175" w:rsidRDefault="00F65C69" w:rsidP="00A60175">
      <w:r>
        <w:t xml:space="preserve">Reproductive coercion is an increasingly recognised form of </w:t>
      </w:r>
      <w:r w:rsidR="00D73A54">
        <w:t>DFSV</w:t>
      </w:r>
      <w:r>
        <w:t xml:space="preserve"> that can include contraception sabotage, pregnancy coercion and control of reproductive decision-making. Healthcare settings play an important role in identifying and responding to these experiences. </w:t>
      </w:r>
    </w:p>
    <w:p w14:paraId="2045358A" w14:textId="4B5818A8" w:rsidR="00F94A70" w:rsidRPr="00A60175" w:rsidRDefault="00F94A70" w:rsidP="00F94A70">
      <w:pPr>
        <w:rPr>
          <w:i/>
          <w:iCs/>
        </w:rPr>
      </w:pPr>
      <w:r w:rsidRPr="00A60175">
        <w:rPr>
          <w:i/>
          <w:iCs/>
        </w:rPr>
        <w:t>Intersections Between Violence, Mental Health and Substance Use</w:t>
      </w:r>
    </w:p>
    <w:p w14:paraId="1A23A396" w14:textId="77777777" w:rsidR="00F94A70" w:rsidRPr="00F94A70" w:rsidRDefault="00F94A70" w:rsidP="00F94A70">
      <w:r w:rsidRPr="00F94A70">
        <w:t>Emerging evidence continues to highlight the complex relationships between violence, trauma, mental illness and substance use. Prevention frameworks should avoid siloed responses and instead support integrated approaches that recognise these intersecting issues.</w:t>
      </w:r>
    </w:p>
    <w:p w14:paraId="64476AA9" w14:textId="77777777" w:rsidR="00F94A70" w:rsidRPr="00A60175" w:rsidRDefault="00F94A70" w:rsidP="00F94A70">
      <w:pPr>
        <w:rPr>
          <w:i/>
          <w:iCs/>
        </w:rPr>
      </w:pPr>
      <w:r w:rsidRPr="00A60175">
        <w:rPr>
          <w:i/>
          <w:iCs/>
        </w:rPr>
        <w:t>Intergenerational Trauma and Systemic Disadvantage</w:t>
      </w:r>
    </w:p>
    <w:p w14:paraId="22D3C5F0" w14:textId="737913B9" w:rsidR="00F94A70" w:rsidRDefault="00F94A70" w:rsidP="00F94A70">
      <w:r w:rsidRPr="00F94A70">
        <w:t>For Aboriginal and Torres Strait Islander peoples,</w:t>
      </w:r>
      <w:r w:rsidR="00A60175">
        <w:t xml:space="preserve"> effective</w:t>
      </w:r>
      <w:r w:rsidRPr="00F94A70">
        <w:t xml:space="preserve"> prevention</w:t>
      </w:r>
      <w:r w:rsidR="00A60175">
        <w:t xml:space="preserve"> requires </w:t>
      </w:r>
      <w:r w:rsidRPr="00F94A70">
        <w:t>acknowledge</w:t>
      </w:r>
      <w:r w:rsidR="00A60175">
        <w:t>ment of</w:t>
      </w:r>
      <w:r w:rsidRPr="00F94A70">
        <w:t xml:space="preserve"> the ongoing impacts of colonisation, intergenerational trauma, systemic racism and social exclusion. </w:t>
      </w:r>
      <w:r w:rsidR="00A60175">
        <w:t>C</w:t>
      </w:r>
      <w:r w:rsidRPr="00F94A70">
        <w:t>ommunity-led</w:t>
      </w:r>
      <w:r w:rsidR="00A60175">
        <w:t xml:space="preserve">, </w:t>
      </w:r>
      <w:r w:rsidR="00A60175" w:rsidRPr="00F94A70">
        <w:t>culturally grounded</w:t>
      </w:r>
      <w:r w:rsidRPr="00F94A70">
        <w:t xml:space="preserve"> approaches </w:t>
      </w:r>
      <w:r w:rsidR="00A60175">
        <w:t xml:space="preserve">are essential to </w:t>
      </w:r>
      <w:r w:rsidRPr="00F94A70">
        <w:t>strengthen</w:t>
      </w:r>
      <w:r w:rsidR="00A60175">
        <w:t>ing</w:t>
      </w:r>
      <w:r w:rsidRPr="00F94A70">
        <w:t xml:space="preserve"> healing, </w:t>
      </w:r>
      <w:r w:rsidR="00A60175">
        <w:t>resilience</w:t>
      </w:r>
      <w:r w:rsidRPr="00F94A70">
        <w:t xml:space="preserve"> and self-determination.</w:t>
      </w:r>
    </w:p>
    <w:p w14:paraId="3DEA1355" w14:textId="783D7542" w:rsidR="00A60175" w:rsidRDefault="00A60175" w:rsidP="00F94A70">
      <w:r>
        <w:rPr>
          <w:i/>
          <w:iCs/>
        </w:rPr>
        <w:t>Lived Experience and Co-Design</w:t>
      </w:r>
    </w:p>
    <w:p w14:paraId="699E3193" w14:textId="77777777" w:rsidR="00A60175" w:rsidRDefault="00A60175" w:rsidP="0072011D">
      <w:r>
        <w:t>People with lived experience of violence, trauma, service-system involvement and justice involvement should be meaningfully involved in the design, implementation and evaluation of prevention initiatives. Co-design approaches can strengthen relevance, accessibility and effectiveness while ensuring prevention strategies reflect the realities of those most affected.</w:t>
      </w:r>
    </w:p>
    <w:p w14:paraId="18C0FBA1" w14:textId="7951BBD6" w:rsidR="00155255" w:rsidRDefault="00155255" w:rsidP="00155255">
      <w:r>
        <w:t>Conclusion</w:t>
      </w:r>
    </w:p>
    <w:p w14:paraId="6C9A7F83" w14:textId="5AF233FB" w:rsidR="00155255" w:rsidRPr="0072011D" w:rsidRDefault="00155255" w:rsidP="00155255">
      <w:r>
        <w:t>C</w:t>
      </w:r>
      <w:r w:rsidRPr="0072011D">
        <w:t xml:space="preserve">ustodial settings represent an important but under-recognised opportunity for </w:t>
      </w:r>
      <w:r>
        <w:t xml:space="preserve">early intervention and </w:t>
      </w:r>
      <w:r w:rsidRPr="0072011D">
        <w:t xml:space="preserve">prevention. </w:t>
      </w:r>
      <w:r>
        <w:t xml:space="preserve">Clinical observations from custodial health services provide valuable insight into the cumulative impacts of violence, trauma, health inequities and pathways into justice involvement. Strengthening national evaluation and evidence generation from custodial health settings would improve understanding of where prevention efforts are succeeding, where opportunities are being missed, and which interventions most effectively support recovery and reduce future violence. </w:t>
      </w:r>
    </w:p>
    <w:p w14:paraId="67EB6C00" w14:textId="7AFD400E" w:rsidR="0072011D" w:rsidRPr="0072011D" w:rsidRDefault="0072011D" w:rsidP="0072011D">
      <w:r w:rsidRPr="0072011D">
        <w:t>To achieve the National Plan's vision of ending violence against women and children, prevention and early intervention efforts must extend beyond traditional settings and include populations that experience heightened vulnerability and disadvantage.</w:t>
      </w:r>
      <w:r w:rsidR="001655E9">
        <w:t xml:space="preserve"> </w:t>
      </w:r>
      <w:r w:rsidRPr="0072011D">
        <w:t>Recognising custodial health</w:t>
      </w:r>
      <w:r w:rsidR="00CB706C">
        <w:t xml:space="preserve"> services</w:t>
      </w:r>
      <w:r w:rsidRPr="0072011D">
        <w:t xml:space="preserve"> as </w:t>
      </w:r>
      <w:r w:rsidR="00155255">
        <w:t>an integral component of the</w:t>
      </w:r>
      <w:r w:rsidRPr="0072011D">
        <w:t xml:space="preserve"> prevention system would strengthen</w:t>
      </w:r>
      <w:r w:rsidR="00155255">
        <w:t xml:space="preserve"> Australia’s capacity</w:t>
      </w:r>
      <w:r w:rsidRPr="0072011D">
        <w:t xml:space="preserve"> </w:t>
      </w:r>
      <w:r w:rsidR="00155255">
        <w:t>to</w:t>
      </w:r>
      <w:r w:rsidRPr="0072011D">
        <w:t xml:space="preserve"> </w:t>
      </w:r>
      <w:r w:rsidR="00155255">
        <w:t xml:space="preserve">identify violence earlier, address the </w:t>
      </w:r>
      <w:r w:rsidR="00155255">
        <w:lastRenderedPageBreak/>
        <w:t xml:space="preserve">health consequences of trauma, improve continuity of care and reduce future </w:t>
      </w:r>
      <w:r w:rsidRPr="0072011D">
        <w:t>cycles of victimisation</w:t>
      </w:r>
      <w:r w:rsidR="00155255">
        <w:t>, violence and justice involvement. In addition to providing healthcare, Justice Health contributes valuable clinical insights into the relationship between violence, trauma, health inequities and justice involvement. Incorporating this evidence into national policy, implementation and evaluation would strengthen future prevention efforts and help ensure that the Second Action Plan reaches some of Australia’s most marginalised populations</w:t>
      </w:r>
    </w:p>
    <w:p w14:paraId="6EA5F386" w14:textId="6803A5B3" w:rsidR="00115AB0" w:rsidRDefault="00115AB0">
      <w:r>
        <w:br w:type="page"/>
      </w:r>
    </w:p>
    <w:p w14:paraId="7C4D2104" w14:textId="77777777" w:rsidR="00B10E94" w:rsidRPr="00B532A7" w:rsidRDefault="00B10E94" w:rsidP="00B10E94">
      <w:pPr>
        <w:rPr>
          <w:b/>
          <w:bCs/>
          <w:sz w:val="28"/>
          <w:szCs w:val="28"/>
        </w:rPr>
      </w:pPr>
      <w:r w:rsidRPr="00B532A7">
        <w:rPr>
          <w:b/>
          <w:bCs/>
          <w:sz w:val="28"/>
          <w:szCs w:val="28"/>
        </w:rPr>
        <w:lastRenderedPageBreak/>
        <w:t>Priority Area 3: Children and young people in their own right</w:t>
      </w:r>
    </w:p>
    <w:p w14:paraId="35F88A98" w14:textId="77777777" w:rsidR="00B10E94" w:rsidRPr="00B532A7" w:rsidRDefault="00B10E94" w:rsidP="00B10E94">
      <w:pPr>
        <w:rPr>
          <w:b/>
          <w:bCs/>
        </w:rPr>
      </w:pPr>
      <w:r w:rsidRPr="00B532A7">
        <w:rPr>
          <w:b/>
          <w:bCs/>
        </w:rPr>
        <w:t>When providing your feedback on this area, you might like to consider:</w:t>
      </w:r>
    </w:p>
    <w:p w14:paraId="1AE9B1AD" w14:textId="77777777" w:rsidR="00B10E94" w:rsidRPr="00B532A7" w:rsidRDefault="00B10E94" w:rsidP="00B10E94">
      <w:pPr>
        <w:numPr>
          <w:ilvl w:val="0"/>
          <w:numId w:val="3"/>
        </w:numPr>
        <w:rPr>
          <w:b/>
          <w:bCs/>
        </w:rPr>
      </w:pPr>
      <w:r w:rsidRPr="00B532A7">
        <w:rPr>
          <w:b/>
          <w:bCs/>
        </w:rPr>
        <w:t>What would make the biggest difference to improving safety, recovery and wellbeing outcomes for children and young people affected by this violence?</w:t>
      </w:r>
    </w:p>
    <w:p w14:paraId="12520621" w14:textId="77777777" w:rsidR="00B10E94" w:rsidRPr="00B532A7" w:rsidRDefault="00B10E94" w:rsidP="00B10E94">
      <w:pPr>
        <w:numPr>
          <w:ilvl w:val="0"/>
          <w:numId w:val="3"/>
        </w:numPr>
        <w:rPr>
          <w:b/>
          <w:bCs/>
        </w:rPr>
      </w:pPr>
      <w:r w:rsidRPr="00B532A7">
        <w:rPr>
          <w:b/>
          <w:bCs/>
        </w:rPr>
        <w:t>How can governments, services, education settings, families, communities and others better recognise and respond to children and young people experiencing violence or harm?</w:t>
      </w:r>
    </w:p>
    <w:p w14:paraId="6FC1D004" w14:textId="77777777" w:rsidR="00B10E94" w:rsidRPr="00B532A7" w:rsidRDefault="00B10E94" w:rsidP="00B10E94">
      <w:pPr>
        <w:numPr>
          <w:ilvl w:val="0"/>
          <w:numId w:val="3"/>
        </w:numPr>
        <w:rPr>
          <w:b/>
          <w:bCs/>
        </w:rPr>
      </w:pPr>
      <w:r w:rsidRPr="00B532A7">
        <w:rPr>
          <w:b/>
          <w:bCs/>
        </w:rPr>
        <w:t>What approaches are most effective in supporting children and young people who are using violence or displaying harmful sexual behaviours to take accountability, change behaviours, and reduce harm?</w:t>
      </w:r>
    </w:p>
    <w:p w14:paraId="795613D9" w14:textId="77777777" w:rsidR="00B10E94" w:rsidRPr="00B532A7" w:rsidRDefault="00B10E94" w:rsidP="00B10E94">
      <w:pPr>
        <w:numPr>
          <w:ilvl w:val="0"/>
          <w:numId w:val="3"/>
        </w:numPr>
        <w:rPr>
          <w:b/>
          <w:bCs/>
        </w:rPr>
      </w:pPr>
      <w:r w:rsidRPr="00B532A7">
        <w:rPr>
          <w:b/>
          <w:bCs/>
        </w:rPr>
        <w:t>How should the Second Action Plan respond to current or emerging forms of harm affecting children and young people, including technology-facilitated abuse, harmful online content, and violence within peer and dating relationships?</w:t>
      </w:r>
    </w:p>
    <w:p w14:paraId="76446955" w14:textId="77777777" w:rsidR="00B10E94" w:rsidRPr="00B532A7" w:rsidRDefault="00B10E94" w:rsidP="00B10E94">
      <w:pPr>
        <w:rPr>
          <w:b/>
          <w:bCs/>
        </w:rPr>
      </w:pPr>
      <w:r w:rsidRPr="00B532A7">
        <w:rPr>
          <w:b/>
          <w:bCs/>
        </w:rPr>
        <w:t>How can children and young people be meaningfully involved in shaping the policies, programs and services that affect them?</w:t>
      </w:r>
    </w:p>
    <w:p w14:paraId="409D1170" w14:textId="3E90252E" w:rsidR="00867D61" w:rsidRDefault="00867D61" w:rsidP="00B10E94">
      <w:r>
        <w:t xml:space="preserve">Children and young people experience </w:t>
      </w:r>
      <w:r w:rsidR="00AB4537">
        <w:t>DFSV</w:t>
      </w:r>
      <w:r>
        <w:t xml:space="preserve"> in ways that profoundly affect their safety, wellbeing, development, health and future life opportunities. They are not simply witnesses to violence experienced by adults; they are victim-survivors in their own right, often experiencing direct and indirect harms that can have lifelong consequences. Improving outcomes for children and young people requires responses that recognise their unique needs, strengths and rights; while ensuring they have access to safe, developmentally appropriate and trauma-informed support. This includes children and young people who experience violence within families, communities, peer relationships and online environments, as well as those who come into contact with child protection, health and justice systems. </w:t>
      </w:r>
    </w:p>
    <w:p w14:paraId="62017C90" w14:textId="16A06860" w:rsidR="00B0777E" w:rsidRDefault="00867D61" w:rsidP="00B10E94">
      <w:r>
        <w:t xml:space="preserve">Particular attention should be given to children and young people who experience multiple intersecting forms of disadvantage, including Aboriginal and Torres Strait Islander children and young people, children with disability, culturally and linguistically diverse communities, LGBTIQA+ young people, children in out-of-home care, and children affected by parental incarceration. </w:t>
      </w:r>
      <w:r w:rsidR="00CD634F">
        <w:t xml:space="preserve"> </w:t>
      </w:r>
    </w:p>
    <w:p w14:paraId="27457CE3" w14:textId="77777777" w:rsidR="00867D61" w:rsidRPr="00867D61" w:rsidRDefault="00867D61" w:rsidP="00867D61">
      <w:pPr>
        <w:rPr>
          <w:i/>
          <w:iCs/>
        </w:rPr>
      </w:pPr>
      <w:r w:rsidRPr="00867D61">
        <w:rPr>
          <w:i/>
          <w:iCs/>
        </w:rPr>
        <w:t>What Would Make the Biggest Difference to Improving Safety, Recovery and Wellbeing Outcomes?</w:t>
      </w:r>
    </w:p>
    <w:p w14:paraId="2FD4E68F" w14:textId="77777777" w:rsidR="00867D61" w:rsidRPr="00867D61" w:rsidRDefault="00867D61" w:rsidP="00867D61">
      <w:r w:rsidRPr="00867D61">
        <w:t>The most effective responses recognise that children and young people require support in their own right, regardless of whether they are directly targeted by violence or affected by violence experienced by a parent, caregiver or family member.</w:t>
      </w:r>
    </w:p>
    <w:p w14:paraId="3211208C" w14:textId="77777777" w:rsidR="00867D61" w:rsidRDefault="00867D61" w:rsidP="00B10E94">
      <w:r>
        <w:lastRenderedPageBreak/>
        <w:t>Improving outcomes requires:</w:t>
      </w:r>
    </w:p>
    <w:p w14:paraId="2B0D14B0" w14:textId="77777777" w:rsidR="00867D61" w:rsidRDefault="00867D61" w:rsidP="001D1AC2">
      <w:pPr>
        <w:pStyle w:val="ListParagraph"/>
        <w:numPr>
          <w:ilvl w:val="0"/>
          <w:numId w:val="20"/>
        </w:numPr>
      </w:pPr>
      <w:r w:rsidRPr="00867D61">
        <w:t>Early identification of violence, abuse, neglect and trauma across health, education, child protection and community settings.</w:t>
      </w:r>
    </w:p>
    <w:p w14:paraId="0A748B91" w14:textId="77777777" w:rsidR="00867D61" w:rsidRDefault="00867D61" w:rsidP="001D1AC2">
      <w:pPr>
        <w:pStyle w:val="ListParagraph"/>
        <w:numPr>
          <w:ilvl w:val="0"/>
          <w:numId w:val="20"/>
        </w:numPr>
      </w:pPr>
      <w:r w:rsidRPr="00867D61">
        <w:t>Access to trauma-informed, culturally safe and developmentally appropriate therapeutic support.</w:t>
      </w:r>
    </w:p>
    <w:p w14:paraId="454A68AE" w14:textId="77777777" w:rsidR="00867D61" w:rsidRDefault="00867D61" w:rsidP="001D1AC2">
      <w:pPr>
        <w:pStyle w:val="ListParagraph"/>
        <w:numPr>
          <w:ilvl w:val="0"/>
          <w:numId w:val="20"/>
        </w:numPr>
      </w:pPr>
      <w:r w:rsidRPr="00867D61">
        <w:t>Stable housing, educational engagement and social supports that promote safety and recovery.</w:t>
      </w:r>
    </w:p>
    <w:p w14:paraId="72129224" w14:textId="77777777" w:rsidR="00867D61" w:rsidRDefault="00867D61" w:rsidP="001D1AC2">
      <w:pPr>
        <w:pStyle w:val="ListParagraph"/>
        <w:numPr>
          <w:ilvl w:val="0"/>
          <w:numId w:val="20"/>
        </w:numPr>
      </w:pPr>
      <w:r w:rsidRPr="00867D61">
        <w:t>Integrated responses that address physical health, mental health, alcohol and other drug issues, disability and psychosocial needs.</w:t>
      </w:r>
    </w:p>
    <w:p w14:paraId="4166455E" w14:textId="77777777" w:rsidR="00867D61" w:rsidRDefault="00867D61" w:rsidP="001D1AC2">
      <w:pPr>
        <w:pStyle w:val="ListParagraph"/>
        <w:numPr>
          <w:ilvl w:val="0"/>
          <w:numId w:val="20"/>
        </w:numPr>
      </w:pPr>
      <w:r w:rsidRPr="00867D61">
        <w:t>Family-centred interventions that strengthen safe and supportive relationships where appropriate.</w:t>
      </w:r>
    </w:p>
    <w:p w14:paraId="375BC984" w14:textId="7C0E086D" w:rsidR="00867D61" w:rsidRPr="00867D61" w:rsidRDefault="00867D61" w:rsidP="001D1AC2">
      <w:pPr>
        <w:pStyle w:val="ListParagraph"/>
        <w:numPr>
          <w:ilvl w:val="0"/>
          <w:numId w:val="20"/>
        </w:numPr>
      </w:pPr>
      <w:r w:rsidRPr="00867D61">
        <w:t>Continuity of care across service systems and life transitions.</w:t>
      </w:r>
    </w:p>
    <w:p w14:paraId="49E2B395" w14:textId="77777777" w:rsidR="00671E02" w:rsidRPr="00671E02" w:rsidRDefault="00671E02" w:rsidP="00671E02">
      <w:pPr>
        <w:pStyle w:val="isselectedend"/>
        <w:rPr>
          <w:rFonts w:asciiTheme="minorHAnsi" w:hAnsiTheme="minorHAnsi"/>
        </w:rPr>
      </w:pPr>
      <w:r w:rsidRPr="00671E02">
        <w:rPr>
          <w:rFonts w:asciiTheme="minorHAnsi" w:hAnsiTheme="minorHAnsi"/>
        </w:rPr>
        <w:t>Children and young people often experience violence alongside other forms of adversity, including poverty, homelessness, parental substance use, parental mental illness and involvement with child protection or justice systems. Responses must acknowledge these intersecting factors and avoid siloed approaches that fail to address the broader context of children's lives.</w:t>
      </w:r>
    </w:p>
    <w:p w14:paraId="19102589" w14:textId="77777777" w:rsidR="00671E02" w:rsidRPr="00671E02" w:rsidRDefault="00671E02" w:rsidP="00671E02">
      <w:pPr>
        <w:pStyle w:val="isselectedend"/>
        <w:rPr>
          <w:rFonts w:asciiTheme="minorHAnsi" w:hAnsiTheme="minorHAnsi"/>
          <w:i/>
          <w:iCs/>
        </w:rPr>
      </w:pPr>
      <w:r w:rsidRPr="00671E02">
        <w:rPr>
          <w:rFonts w:asciiTheme="minorHAnsi" w:hAnsiTheme="minorHAnsi"/>
          <w:i/>
          <w:iCs/>
        </w:rPr>
        <w:t>Children of Incarcerated Parents</w:t>
      </w:r>
    </w:p>
    <w:p w14:paraId="1B08061E" w14:textId="4D249C54" w:rsidR="00671E02" w:rsidRPr="00671E02" w:rsidRDefault="00671E02" w:rsidP="00671E02">
      <w:pPr>
        <w:pStyle w:val="isselectedend"/>
        <w:rPr>
          <w:rFonts w:asciiTheme="minorHAnsi" w:hAnsiTheme="minorHAnsi"/>
        </w:rPr>
      </w:pPr>
      <w:r w:rsidRPr="00671E02">
        <w:rPr>
          <w:rFonts w:asciiTheme="minorHAnsi" w:hAnsiTheme="minorHAnsi"/>
        </w:rPr>
        <w:t>An important but often overlooked group within violence prevention and recovery efforts is children affected by parental incarceration.</w:t>
      </w:r>
      <w:r w:rsidR="001E456A">
        <w:rPr>
          <w:rFonts w:asciiTheme="minorHAnsi" w:hAnsiTheme="minorHAnsi"/>
        </w:rPr>
        <w:t xml:space="preserve"> </w:t>
      </w:r>
      <w:r w:rsidRPr="00671E02">
        <w:rPr>
          <w:rFonts w:asciiTheme="minorHAnsi" w:hAnsiTheme="minorHAnsi"/>
        </w:rPr>
        <w:t xml:space="preserve">Many children who experience the incarceration of a parent have also been exposed to </w:t>
      </w:r>
      <w:r w:rsidR="00AB4537">
        <w:rPr>
          <w:rFonts w:asciiTheme="minorHAnsi" w:hAnsiTheme="minorHAnsi"/>
        </w:rPr>
        <w:t>DFSV</w:t>
      </w:r>
      <w:r w:rsidRPr="00671E02">
        <w:rPr>
          <w:rFonts w:asciiTheme="minorHAnsi" w:hAnsiTheme="minorHAnsi"/>
        </w:rPr>
        <w:t>, trauma, family disruption, housing instability and social disadvantage. For children whose mothers are incarcerated, separation can be particularly significant due to the primary caregiving role many women hold prior to imprisonment.</w:t>
      </w:r>
    </w:p>
    <w:p w14:paraId="1DDF7AAD" w14:textId="77777777" w:rsidR="00671E02" w:rsidRPr="00671E02" w:rsidRDefault="00671E02" w:rsidP="00671E02">
      <w:pPr>
        <w:pStyle w:val="isselectedend"/>
        <w:rPr>
          <w:rFonts w:asciiTheme="minorHAnsi" w:hAnsiTheme="minorHAnsi"/>
        </w:rPr>
      </w:pPr>
      <w:r w:rsidRPr="00671E02">
        <w:rPr>
          <w:rFonts w:asciiTheme="minorHAnsi" w:hAnsiTheme="minorHAnsi"/>
        </w:rPr>
        <w:t>These children may experience:</w:t>
      </w:r>
    </w:p>
    <w:p w14:paraId="3CC82C28" w14:textId="77777777" w:rsidR="00671E02" w:rsidRDefault="00671E02" w:rsidP="001D1AC2">
      <w:pPr>
        <w:pStyle w:val="isselectedend"/>
        <w:numPr>
          <w:ilvl w:val="0"/>
          <w:numId w:val="21"/>
        </w:numPr>
        <w:rPr>
          <w:rFonts w:asciiTheme="minorHAnsi" w:hAnsiTheme="minorHAnsi"/>
        </w:rPr>
      </w:pPr>
      <w:r w:rsidRPr="00671E02">
        <w:rPr>
          <w:rFonts w:asciiTheme="minorHAnsi" w:hAnsiTheme="minorHAnsi"/>
        </w:rPr>
        <w:t>Disrupted attachment and caregiving relationships.</w:t>
      </w:r>
    </w:p>
    <w:p w14:paraId="6A93E52D" w14:textId="77777777" w:rsidR="00671E02" w:rsidRDefault="00671E02" w:rsidP="001D1AC2">
      <w:pPr>
        <w:pStyle w:val="isselectedend"/>
        <w:numPr>
          <w:ilvl w:val="0"/>
          <w:numId w:val="21"/>
        </w:numPr>
        <w:rPr>
          <w:rFonts w:asciiTheme="minorHAnsi" w:hAnsiTheme="minorHAnsi"/>
        </w:rPr>
      </w:pPr>
      <w:r w:rsidRPr="00671E02">
        <w:rPr>
          <w:rFonts w:asciiTheme="minorHAnsi" w:hAnsiTheme="minorHAnsi"/>
        </w:rPr>
        <w:t>Emotional distress, grief and stigma.</w:t>
      </w:r>
    </w:p>
    <w:p w14:paraId="2C6CB820" w14:textId="77777777" w:rsidR="00671E02" w:rsidRDefault="00671E02" w:rsidP="001D1AC2">
      <w:pPr>
        <w:pStyle w:val="isselectedend"/>
        <w:numPr>
          <w:ilvl w:val="0"/>
          <w:numId w:val="21"/>
        </w:numPr>
        <w:rPr>
          <w:rFonts w:asciiTheme="minorHAnsi" w:hAnsiTheme="minorHAnsi"/>
        </w:rPr>
      </w:pPr>
      <w:r w:rsidRPr="00671E02">
        <w:rPr>
          <w:rFonts w:asciiTheme="minorHAnsi" w:hAnsiTheme="minorHAnsi"/>
        </w:rPr>
        <w:t>Increased contact with child protection systems.</w:t>
      </w:r>
    </w:p>
    <w:p w14:paraId="2DC983FC" w14:textId="77777777" w:rsidR="00671E02" w:rsidRDefault="00671E02" w:rsidP="001D1AC2">
      <w:pPr>
        <w:pStyle w:val="isselectedend"/>
        <w:numPr>
          <w:ilvl w:val="0"/>
          <w:numId w:val="21"/>
        </w:numPr>
        <w:rPr>
          <w:rFonts w:asciiTheme="minorHAnsi" w:hAnsiTheme="minorHAnsi"/>
        </w:rPr>
      </w:pPr>
      <w:r w:rsidRPr="00671E02">
        <w:rPr>
          <w:rFonts w:asciiTheme="minorHAnsi" w:hAnsiTheme="minorHAnsi"/>
        </w:rPr>
        <w:t>Educational disruption and social exclusion.</w:t>
      </w:r>
    </w:p>
    <w:p w14:paraId="21720728" w14:textId="78C4B7BB" w:rsidR="00671E02" w:rsidRPr="00671E02" w:rsidRDefault="00671E02" w:rsidP="001D1AC2">
      <w:pPr>
        <w:pStyle w:val="isselectedend"/>
        <w:numPr>
          <w:ilvl w:val="0"/>
          <w:numId w:val="21"/>
        </w:numPr>
        <w:rPr>
          <w:rFonts w:asciiTheme="minorHAnsi" w:hAnsiTheme="minorHAnsi"/>
        </w:rPr>
      </w:pPr>
      <w:r w:rsidRPr="00671E02">
        <w:rPr>
          <w:rFonts w:asciiTheme="minorHAnsi" w:hAnsiTheme="minorHAnsi"/>
        </w:rPr>
        <w:t>Ongoing exposure to the impacts of violence and trauma.</w:t>
      </w:r>
    </w:p>
    <w:p w14:paraId="2E8947DF" w14:textId="77777777" w:rsidR="00671E02" w:rsidRPr="00671E02" w:rsidRDefault="00671E02" w:rsidP="00671E02">
      <w:pPr>
        <w:pStyle w:val="isselectedend"/>
        <w:rPr>
          <w:rFonts w:asciiTheme="minorHAnsi" w:hAnsiTheme="minorHAnsi"/>
        </w:rPr>
      </w:pPr>
      <w:r w:rsidRPr="00671E02">
        <w:rPr>
          <w:rFonts w:asciiTheme="minorHAnsi" w:hAnsiTheme="minorHAnsi"/>
        </w:rPr>
        <w:t>The Second Action Plan should recognise children of incarcerated parents as a population that may require targeted support and should promote family-centred approaches that strengthen child wellbeing, maintain safe family connections where appropriate, and support continuity of care across health, education and community services.</w:t>
      </w:r>
    </w:p>
    <w:p w14:paraId="62670AC5" w14:textId="77777777" w:rsidR="00366828" w:rsidRDefault="00366828" w:rsidP="00671E02">
      <w:pPr>
        <w:pStyle w:val="isselectedend"/>
        <w:rPr>
          <w:rFonts w:asciiTheme="minorHAnsi" w:hAnsiTheme="minorHAnsi"/>
          <w:i/>
          <w:iCs/>
        </w:rPr>
      </w:pPr>
    </w:p>
    <w:p w14:paraId="639714A5" w14:textId="4F329410" w:rsidR="00671E02" w:rsidRPr="001E456A" w:rsidRDefault="00671E02" w:rsidP="00671E02">
      <w:pPr>
        <w:pStyle w:val="isselectedend"/>
        <w:rPr>
          <w:rFonts w:asciiTheme="minorHAnsi" w:hAnsiTheme="minorHAnsi"/>
          <w:i/>
          <w:iCs/>
        </w:rPr>
      </w:pPr>
      <w:r w:rsidRPr="001E456A">
        <w:rPr>
          <w:rFonts w:asciiTheme="minorHAnsi" w:hAnsiTheme="minorHAnsi"/>
          <w:i/>
          <w:iCs/>
        </w:rPr>
        <w:lastRenderedPageBreak/>
        <w:t>Recognising and Responding to Children and Young People Experiencing Violence</w:t>
      </w:r>
    </w:p>
    <w:p w14:paraId="35FFE797" w14:textId="77777777" w:rsidR="00671E02" w:rsidRPr="00671E02" w:rsidRDefault="00671E02" w:rsidP="00671E02">
      <w:pPr>
        <w:pStyle w:val="isselectedend"/>
        <w:rPr>
          <w:rFonts w:asciiTheme="minorHAnsi" w:hAnsiTheme="minorHAnsi"/>
        </w:rPr>
      </w:pPr>
      <w:r w:rsidRPr="00671E02">
        <w:rPr>
          <w:rFonts w:asciiTheme="minorHAnsi" w:hAnsiTheme="minorHAnsi"/>
        </w:rPr>
        <w:t>Governments, services, schools, families and communities all play an important role in identifying and responding to violence affecting children and young people.</w:t>
      </w:r>
    </w:p>
    <w:p w14:paraId="35646A0B" w14:textId="77777777" w:rsidR="00671E02" w:rsidRPr="00671E02" w:rsidRDefault="00671E02" w:rsidP="00671E02">
      <w:pPr>
        <w:pStyle w:val="isselectedend"/>
        <w:rPr>
          <w:rFonts w:asciiTheme="minorHAnsi" w:hAnsiTheme="minorHAnsi"/>
        </w:rPr>
      </w:pPr>
      <w:r w:rsidRPr="00671E02">
        <w:rPr>
          <w:rFonts w:asciiTheme="minorHAnsi" w:hAnsiTheme="minorHAnsi"/>
        </w:rPr>
        <w:t>Effective responses require:</w:t>
      </w:r>
    </w:p>
    <w:p w14:paraId="110EB97F" w14:textId="77777777" w:rsidR="00671E02" w:rsidRDefault="00671E02" w:rsidP="001D1AC2">
      <w:pPr>
        <w:pStyle w:val="isselectedend"/>
        <w:numPr>
          <w:ilvl w:val="0"/>
          <w:numId w:val="22"/>
        </w:numPr>
        <w:rPr>
          <w:rFonts w:asciiTheme="minorHAnsi" w:hAnsiTheme="minorHAnsi"/>
        </w:rPr>
      </w:pPr>
      <w:r w:rsidRPr="00671E02">
        <w:rPr>
          <w:rFonts w:asciiTheme="minorHAnsi" w:hAnsiTheme="minorHAnsi"/>
        </w:rPr>
        <w:t>Trauma-informed and culturally safe practice across universal and specialist services.</w:t>
      </w:r>
    </w:p>
    <w:p w14:paraId="39F6840D" w14:textId="77777777" w:rsidR="00671E02" w:rsidRDefault="00671E02" w:rsidP="001D1AC2">
      <w:pPr>
        <w:pStyle w:val="isselectedend"/>
        <w:numPr>
          <w:ilvl w:val="0"/>
          <w:numId w:val="22"/>
        </w:numPr>
        <w:rPr>
          <w:rFonts w:asciiTheme="minorHAnsi" w:hAnsiTheme="minorHAnsi"/>
        </w:rPr>
      </w:pPr>
      <w:r w:rsidRPr="00671E02">
        <w:rPr>
          <w:rFonts w:asciiTheme="minorHAnsi" w:hAnsiTheme="minorHAnsi"/>
        </w:rPr>
        <w:t>Child-centred approaches that recognise children's experiences and perspectives.</w:t>
      </w:r>
    </w:p>
    <w:p w14:paraId="293F094F" w14:textId="77777777" w:rsidR="00671E02" w:rsidRDefault="00671E02" w:rsidP="001D1AC2">
      <w:pPr>
        <w:pStyle w:val="isselectedend"/>
        <w:numPr>
          <w:ilvl w:val="0"/>
          <w:numId w:val="22"/>
        </w:numPr>
        <w:rPr>
          <w:rFonts w:asciiTheme="minorHAnsi" w:hAnsiTheme="minorHAnsi"/>
        </w:rPr>
      </w:pPr>
      <w:r w:rsidRPr="00671E02">
        <w:rPr>
          <w:rFonts w:asciiTheme="minorHAnsi" w:hAnsiTheme="minorHAnsi"/>
        </w:rPr>
        <w:t>Safe opportunities for disclosure and help-seeking.</w:t>
      </w:r>
    </w:p>
    <w:p w14:paraId="00F0CC20" w14:textId="77777777" w:rsidR="00671E02" w:rsidRDefault="00671E02" w:rsidP="001D1AC2">
      <w:pPr>
        <w:pStyle w:val="isselectedend"/>
        <w:numPr>
          <w:ilvl w:val="0"/>
          <w:numId w:val="22"/>
        </w:numPr>
        <w:rPr>
          <w:rFonts w:asciiTheme="minorHAnsi" w:hAnsiTheme="minorHAnsi"/>
        </w:rPr>
      </w:pPr>
      <w:r w:rsidRPr="00671E02">
        <w:rPr>
          <w:rFonts w:asciiTheme="minorHAnsi" w:hAnsiTheme="minorHAnsi"/>
        </w:rPr>
        <w:t>Improved workforce capability to identify signs of violence, abuse and trauma.</w:t>
      </w:r>
    </w:p>
    <w:p w14:paraId="6844E7D5" w14:textId="3E87F5E3" w:rsidR="00671E02" w:rsidRPr="00671E02" w:rsidRDefault="00671E02" w:rsidP="001D1AC2">
      <w:pPr>
        <w:pStyle w:val="isselectedend"/>
        <w:numPr>
          <w:ilvl w:val="0"/>
          <w:numId w:val="22"/>
        </w:numPr>
        <w:rPr>
          <w:rFonts w:asciiTheme="minorHAnsi" w:hAnsiTheme="minorHAnsi"/>
        </w:rPr>
      </w:pPr>
      <w:r w:rsidRPr="00671E02">
        <w:rPr>
          <w:rFonts w:asciiTheme="minorHAnsi" w:hAnsiTheme="minorHAnsi"/>
        </w:rPr>
        <w:t>Strong referral pathways between education, health, child protection, specialist violence and community services.</w:t>
      </w:r>
    </w:p>
    <w:p w14:paraId="399673D6" w14:textId="2DE10AB8" w:rsidR="00671E02" w:rsidRPr="00671E02" w:rsidRDefault="00671E02" w:rsidP="00671E02">
      <w:pPr>
        <w:pStyle w:val="isselectedend"/>
        <w:rPr>
          <w:rFonts w:asciiTheme="minorHAnsi" w:hAnsiTheme="minorHAnsi"/>
        </w:rPr>
      </w:pPr>
      <w:r w:rsidRPr="00671E02">
        <w:rPr>
          <w:rFonts w:asciiTheme="minorHAnsi" w:hAnsiTheme="minorHAnsi"/>
        </w:rPr>
        <w:t>Healthcare services have an important role in identifying previously unrecognised experiences of violence and trauma and connecting children and young people with appropriate support.</w:t>
      </w:r>
      <w:r w:rsidR="001E456A">
        <w:rPr>
          <w:rFonts w:asciiTheme="minorHAnsi" w:hAnsiTheme="minorHAnsi"/>
        </w:rPr>
        <w:t xml:space="preserve"> </w:t>
      </w:r>
      <w:r w:rsidRPr="00671E02">
        <w:rPr>
          <w:rFonts w:asciiTheme="minorHAnsi" w:hAnsiTheme="minorHAnsi"/>
        </w:rPr>
        <w:t>This includes custodial health services within youth justice settings, where many young people have experienced significant adversity prior to system involvement.</w:t>
      </w:r>
    </w:p>
    <w:p w14:paraId="5BE6BE6B" w14:textId="77777777" w:rsidR="00671E02" w:rsidRPr="00671E02" w:rsidRDefault="00671E02" w:rsidP="00671E02">
      <w:pPr>
        <w:pStyle w:val="isselectedend"/>
        <w:rPr>
          <w:rFonts w:asciiTheme="minorHAnsi" w:hAnsiTheme="minorHAnsi"/>
          <w:i/>
          <w:iCs/>
        </w:rPr>
      </w:pPr>
      <w:r w:rsidRPr="00671E02">
        <w:rPr>
          <w:rFonts w:asciiTheme="minorHAnsi" w:hAnsiTheme="minorHAnsi"/>
          <w:i/>
          <w:iCs/>
        </w:rPr>
        <w:t>Children and Young People in Youth Justice Settings</w:t>
      </w:r>
    </w:p>
    <w:p w14:paraId="056F1F97" w14:textId="391B1C2F" w:rsidR="00671E02" w:rsidRPr="00671E02" w:rsidRDefault="00671E02" w:rsidP="00366828">
      <w:pPr>
        <w:pStyle w:val="isselectedend"/>
        <w:rPr>
          <w:rFonts w:asciiTheme="minorHAnsi" w:hAnsiTheme="minorHAnsi"/>
        </w:rPr>
      </w:pPr>
      <w:r w:rsidRPr="00671E02">
        <w:rPr>
          <w:rFonts w:asciiTheme="minorHAnsi" w:hAnsiTheme="minorHAnsi"/>
        </w:rPr>
        <w:t xml:space="preserve">Many children and young people who </w:t>
      </w:r>
      <w:r w:rsidR="005600D2" w:rsidRPr="00671E02">
        <w:rPr>
          <w:rFonts w:asciiTheme="minorHAnsi" w:hAnsiTheme="minorHAnsi"/>
        </w:rPr>
        <w:t>encounter</w:t>
      </w:r>
      <w:r w:rsidRPr="00671E02">
        <w:rPr>
          <w:rFonts w:asciiTheme="minorHAnsi" w:hAnsiTheme="minorHAnsi"/>
        </w:rPr>
        <w:t xml:space="preserve"> the youth justice system have experienced </w:t>
      </w:r>
      <w:r w:rsidR="00AB4537">
        <w:rPr>
          <w:rFonts w:asciiTheme="minorHAnsi" w:hAnsiTheme="minorHAnsi"/>
        </w:rPr>
        <w:t>DFSV</w:t>
      </w:r>
      <w:r w:rsidRPr="00671E02">
        <w:rPr>
          <w:rFonts w:asciiTheme="minorHAnsi" w:hAnsiTheme="minorHAnsi"/>
        </w:rPr>
        <w:t>, child abuse, neglect, trauma and other adverse childhood experiences. These experiences are often cumulative and contribute to poor health outcomes, educational disengagement, homelessness, substance use and ongoing justice involvement.</w:t>
      </w:r>
      <w:r w:rsidR="00366828">
        <w:rPr>
          <w:rFonts w:asciiTheme="minorHAnsi" w:hAnsiTheme="minorHAnsi"/>
        </w:rPr>
        <w:t xml:space="preserve"> </w:t>
      </w:r>
      <w:r w:rsidRPr="00671E02">
        <w:rPr>
          <w:rFonts w:asciiTheme="minorHAnsi" w:hAnsiTheme="minorHAnsi"/>
        </w:rPr>
        <w:t>For some young people, entry into custody represents a critical opportunity for identification, assessment and intervention.</w:t>
      </w:r>
    </w:p>
    <w:p w14:paraId="24FFB494" w14:textId="6A649EF7" w:rsidR="00CD634F" w:rsidRDefault="00F30229" w:rsidP="00B10E94">
      <w:r>
        <w:t xml:space="preserve">The Second Action Plan should recognise the important role of health services across youth justice settings in: </w:t>
      </w:r>
    </w:p>
    <w:p w14:paraId="54B6FFD2" w14:textId="6A04E801" w:rsidR="00CD634F" w:rsidRDefault="00CD634F" w:rsidP="001D1AC2">
      <w:pPr>
        <w:pStyle w:val="ListParagraph"/>
        <w:numPr>
          <w:ilvl w:val="0"/>
          <w:numId w:val="18"/>
        </w:numPr>
      </w:pPr>
      <w:r>
        <w:t xml:space="preserve">Identifying histories of </w:t>
      </w:r>
      <w:r w:rsidR="00671E02">
        <w:t>violence, abuse</w:t>
      </w:r>
      <w:r w:rsidR="00F30229">
        <w:t xml:space="preserve"> and trauma through routine, culturally safe and trauma-informed assessment. </w:t>
      </w:r>
      <w:r>
        <w:t xml:space="preserve"> </w:t>
      </w:r>
    </w:p>
    <w:p w14:paraId="2BCDA94B" w14:textId="594552D7" w:rsidR="00CD634F" w:rsidRDefault="00B10E4D" w:rsidP="001D1AC2">
      <w:pPr>
        <w:pStyle w:val="ListParagraph"/>
        <w:numPr>
          <w:ilvl w:val="0"/>
          <w:numId w:val="18"/>
        </w:numPr>
      </w:pPr>
      <w:r>
        <w:t>Providing</w:t>
      </w:r>
      <w:r w:rsidR="00CD634F">
        <w:t xml:space="preserve"> </w:t>
      </w:r>
      <w:r w:rsidR="00F30229">
        <w:t xml:space="preserve">integrated physical health, mental health, alcohol and other drug, and psychosocial support. </w:t>
      </w:r>
    </w:p>
    <w:p w14:paraId="3055FB65" w14:textId="154FB0E8" w:rsidR="00F30229" w:rsidRDefault="00F30229" w:rsidP="001D1AC2">
      <w:pPr>
        <w:pStyle w:val="ListParagraph"/>
        <w:numPr>
          <w:ilvl w:val="0"/>
          <w:numId w:val="18"/>
        </w:numPr>
      </w:pPr>
      <w:r>
        <w:t xml:space="preserve">Delivering developmentally appropriate therapeutic interventions that support emotional regulation, recovery, resilience and healthy relationship development. </w:t>
      </w:r>
    </w:p>
    <w:p w14:paraId="6A05F2F4" w14:textId="0D556B89" w:rsidR="00F30229" w:rsidRDefault="00F30229" w:rsidP="001D1AC2">
      <w:pPr>
        <w:pStyle w:val="ListParagraph"/>
        <w:numPr>
          <w:ilvl w:val="0"/>
          <w:numId w:val="18"/>
        </w:numPr>
      </w:pPr>
      <w:r>
        <w:t xml:space="preserve">Identifying and responding to </w:t>
      </w:r>
      <w:r w:rsidR="00671E02">
        <w:t xml:space="preserve">disability, </w:t>
      </w:r>
      <w:r>
        <w:t xml:space="preserve">cognitive impairment, </w:t>
      </w:r>
      <w:r w:rsidR="00671E02">
        <w:t xml:space="preserve">and </w:t>
      </w:r>
      <w:r>
        <w:t xml:space="preserve">neurodevelopmental conditions that may increase vulnerability to victimisation or harmful behaviours. </w:t>
      </w:r>
    </w:p>
    <w:p w14:paraId="2E995EB0" w14:textId="05FD74B0" w:rsidR="00F30229" w:rsidRDefault="00F30229" w:rsidP="001D1AC2">
      <w:pPr>
        <w:pStyle w:val="ListParagraph"/>
        <w:numPr>
          <w:ilvl w:val="0"/>
          <w:numId w:val="18"/>
        </w:numPr>
      </w:pPr>
      <w:r>
        <w:t xml:space="preserve">Supporting continuity of care through coordinated transition planning and active linkage to community-based </w:t>
      </w:r>
      <w:r w:rsidR="00671E02">
        <w:t>services.</w:t>
      </w:r>
    </w:p>
    <w:p w14:paraId="3B30EFB5" w14:textId="0AA3FF6D" w:rsidR="00B10E4D" w:rsidRDefault="00F30229" w:rsidP="00B10E4D">
      <w:pPr>
        <w:ind w:left="360"/>
      </w:pPr>
      <w:r>
        <w:lastRenderedPageBreak/>
        <w:t xml:space="preserve">Improving outcomes for </w:t>
      </w:r>
      <w:r w:rsidR="00671E02">
        <w:t>justice-involved</w:t>
      </w:r>
      <w:r>
        <w:t xml:space="preserve"> young people </w:t>
      </w:r>
      <w:r w:rsidR="00671E02">
        <w:t>re</w:t>
      </w:r>
      <w:r>
        <w:t>quires stronger integration between health, justice, child protection, education</w:t>
      </w:r>
      <w:r w:rsidR="00671E02">
        <w:t>, housing</w:t>
      </w:r>
      <w:r>
        <w:t xml:space="preserve"> and community s</w:t>
      </w:r>
      <w:r w:rsidR="00671E02">
        <w:t>ectors</w:t>
      </w:r>
      <w:r>
        <w:t>.</w:t>
      </w:r>
      <w:r w:rsidR="00671E02">
        <w:t xml:space="preserve"> Without coordinated support, young people leaving custody remain at heightened risk of further </w:t>
      </w:r>
      <w:r w:rsidR="001E456A">
        <w:t>victimisation</w:t>
      </w:r>
      <w:r w:rsidR="00671E02">
        <w:t>, poor health outcomes and continued justice involvement</w:t>
      </w:r>
      <w:r>
        <w:t xml:space="preserve">. </w:t>
      </w:r>
    </w:p>
    <w:p w14:paraId="5213C179" w14:textId="577585E5" w:rsidR="0072011D" w:rsidRDefault="00B10E4D" w:rsidP="00B10E94">
      <w:pPr>
        <w:rPr>
          <w:b/>
          <w:bCs/>
          <w:sz w:val="28"/>
          <w:szCs w:val="28"/>
        </w:rPr>
      </w:pPr>
      <w:r>
        <w:rPr>
          <w:b/>
          <w:bCs/>
          <w:sz w:val="28"/>
          <w:szCs w:val="28"/>
        </w:rPr>
        <w:t>Responding to Young People Using Violence</w:t>
      </w:r>
    </w:p>
    <w:p w14:paraId="53CDFCE6" w14:textId="4D018920" w:rsidR="00B10E4D" w:rsidRDefault="00671E02" w:rsidP="00B10E94">
      <w:r>
        <w:t>Some young people use violence within families, peer groups, intimate relationships or communities. Effective responses must prioritise</w:t>
      </w:r>
      <w:r w:rsidR="00FB2F25">
        <w:t xml:space="preserve"> safety while recognising that many young people who use violence have themse</w:t>
      </w:r>
      <w:r w:rsidR="00B10E4D">
        <w:t>lves experience</w:t>
      </w:r>
      <w:r w:rsidR="00B70312">
        <w:t>d</w:t>
      </w:r>
      <w:r w:rsidR="00FB2F25">
        <w:t xml:space="preserve"> significant</w:t>
      </w:r>
      <w:r w:rsidR="00B10E4D">
        <w:t xml:space="preserve"> trauma, victimisation, disrupted attachment</w:t>
      </w:r>
      <w:r w:rsidR="00B70312">
        <w:t xml:space="preserve"> and other forms of adversity</w:t>
      </w:r>
      <w:r w:rsidR="00B10E4D">
        <w:t xml:space="preserve">. </w:t>
      </w:r>
      <w:r w:rsidR="00FB2F25">
        <w:t>Interventions</w:t>
      </w:r>
      <w:r w:rsidR="00B10E4D">
        <w:t xml:space="preserve"> must balance</w:t>
      </w:r>
      <w:r w:rsidR="00B70312">
        <w:t xml:space="preserve"> accountability</w:t>
      </w:r>
      <w:r w:rsidR="00FB2F25">
        <w:t xml:space="preserve"> with opportunities</w:t>
      </w:r>
      <w:r w:rsidR="00B70312">
        <w:t xml:space="preserve"> for behaviour </w:t>
      </w:r>
      <w:r w:rsidR="00FB2F25">
        <w:t>change and support.</w:t>
      </w:r>
    </w:p>
    <w:p w14:paraId="03C23EFB" w14:textId="7DDF6590" w:rsidR="00B70312" w:rsidRDefault="00B70312" w:rsidP="00B10E94">
      <w:r>
        <w:t>Evidence-informed responses should include:</w:t>
      </w:r>
    </w:p>
    <w:p w14:paraId="4E6D4EED" w14:textId="6BCAFC59" w:rsidR="00B10E4D" w:rsidRDefault="00B70312" w:rsidP="001D1AC2">
      <w:pPr>
        <w:pStyle w:val="ListParagraph"/>
        <w:numPr>
          <w:ilvl w:val="0"/>
          <w:numId w:val="19"/>
        </w:numPr>
      </w:pPr>
      <w:r>
        <w:t>Early identification and intervention at the first point of contact with health, education, child protection and justice systems.</w:t>
      </w:r>
    </w:p>
    <w:p w14:paraId="76B90C74" w14:textId="77777777" w:rsidR="00B70312" w:rsidRDefault="00B10E4D" w:rsidP="001D1AC2">
      <w:pPr>
        <w:pStyle w:val="ListParagraph"/>
        <w:numPr>
          <w:ilvl w:val="0"/>
          <w:numId w:val="19"/>
        </w:numPr>
      </w:pPr>
      <w:r>
        <w:t>Trauma-informed</w:t>
      </w:r>
      <w:r w:rsidR="00B70312">
        <w:t xml:space="preserve"> and culturally responsive</w:t>
      </w:r>
      <w:r>
        <w:t xml:space="preserve"> therapeutic interventions that address </w:t>
      </w:r>
      <w:r w:rsidR="00B70312">
        <w:t>experiences of violence, loss and adversity</w:t>
      </w:r>
      <w:r>
        <w:t>.</w:t>
      </w:r>
    </w:p>
    <w:p w14:paraId="7921F3DB" w14:textId="7E87EAAB" w:rsidR="00B70312" w:rsidRDefault="00B70312" w:rsidP="001D1AC2">
      <w:pPr>
        <w:pStyle w:val="ListParagraph"/>
        <w:numPr>
          <w:ilvl w:val="0"/>
          <w:numId w:val="19"/>
        </w:numPr>
      </w:pPr>
      <w:r>
        <w:t>Programs that strengthen emotional regulation, problem-solving skills, empathy, healthy relationship skills and non-violen</w:t>
      </w:r>
      <w:r w:rsidR="00FB2F25">
        <w:t>t</w:t>
      </w:r>
      <w:r>
        <w:t xml:space="preserve"> conflict resolution.</w:t>
      </w:r>
    </w:p>
    <w:p w14:paraId="78C48FDB" w14:textId="4F10489D" w:rsidR="00B70312" w:rsidRDefault="00B70312" w:rsidP="001D1AC2">
      <w:pPr>
        <w:pStyle w:val="ListParagraph"/>
        <w:numPr>
          <w:ilvl w:val="0"/>
          <w:numId w:val="19"/>
        </w:numPr>
      </w:pPr>
      <w:r>
        <w:t xml:space="preserve">Integrated responses to co-occurring mental health conditions, substance use, </w:t>
      </w:r>
      <w:r w:rsidR="00FB2F25">
        <w:t>disability</w:t>
      </w:r>
      <w:r>
        <w:t xml:space="preserve"> and neurodevelopmental needs.</w:t>
      </w:r>
    </w:p>
    <w:p w14:paraId="056FEB3D" w14:textId="75C6DCC1" w:rsidR="00B10E4D" w:rsidRDefault="00B70312" w:rsidP="001D1AC2">
      <w:pPr>
        <w:pStyle w:val="ListParagraph"/>
        <w:numPr>
          <w:ilvl w:val="0"/>
          <w:numId w:val="19"/>
        </w:numPr>
      </w:pPr>
      <w:r>
        <w:t xml:space="preserve">Family-inclusive approaches that strengthen protective factors </w:t>
      </w:r>
      <w:r w:rsidR="00FB2F25">
        <w:t>and support safe relationships</w:t>
      </w:r>
      <w:r>
        <w:t xml:space="preserve">. </w:t>
      </w:r>
      <w:r w:rsidR="00B10E4D">
        <w:t xml:space="preserve"> </w:t>
      </w:r>
    </w:p>
    <w:p w14:paraId="422F445E" w14:textId="35AA31F1" w:rsidR="00B0777E" w:rsidRDefault="00B70312" w:rsidP="00366828">
      <w:r>
        <w:t>Short periods of remand or custody may represent valuable opportunities to engage young people who have had limited contact with health services in the community. Interventions delivered during these periods should be linked to ongoing community-based supports to maximise their effectiveness and reduce the likelihood of future harm.</w:t>
      </w:r>
    </w:p>
    <w:p w14:paraId="1620FBBD" w14:textId="2241EEB7" w:rsidR="00B70312" w:rsidRPr="00B70312" w:rsidRDefault="00B70312" w:rsidP="00366828">
      <w:pPr>
        <w:rPr>
          <w:b/>
          <w:bCs/>
        </w:rPr>
      </w:pPr>
      <w:r w:rsidRPr="00B70312">
        <w:rPr>
          <w:b/>
          <w:bCs/>
        </w:rPr>
        <w:t>Children and Young People as Partners in Service Design</w:t>
      </w:r>
    </w:p>
    <w:p w14:paraId="712CD101" w14:textId="5DDDCEB8" w:rsidR="00FB2F25" w:rsidRDefault="00B70312" w:rsidP="00366828">
      <w:r>
        <w:t>Children and young people</w:t>
      </w:r>
      <w:r w:rsidR="00FB2F25">
        <w:t xml:space="preserve"> should be meaningfully involved in shaping the policies, programs and services that affect them.</w:t>
      </w:r>
      <w:r w:rsidR="00366828">
        <w:t xml:space="preserve"> </w:t>
      </w:r>
      <w:r w:rsidR="00FB2F25">
        <w:t>Young people with lived experience of violence</w:t>
      </w:r>
      <w:r>
        <w:t>, trauma</w:t>
      </w:r>
      <w:r w:rsidR="00FB2F25">
        <w:t>, care systems</w:t>
      </w:r>
      <w:r>
        <w:t xml:space="preserve"> and justice </w:t>
      </w:r>
      <w:r w:rsidR="00FB2F25">
        <w:t xml:space="preserve">involvement have valuable expertise regarding what supports are effective, accessible and safe. Their perspectives should inform policy development, service design, implementation and evaluation. </w:t>
      </w:r>
    </w:p>
    <w:p w14:paraId="2326FA8B" w14:textId="0CB2C18D" w:rsidR="00FB2F25" w:rsidRDefault="00FB2F25" w:rsidP="00366828">
      <w:r>
        <w:t>This should include investment in:</w:t>
      </w:r>
    </w:p>
    <w:p w14:paraId="117B052D" w14:textId="5A710D8A" w:rsidR="00FB2F25" w:rsidRDefault="00FB2F25" w:rsidP="001D1AC2">
      <w:pPr>
        <w:pStyle w:val="ListParagraph"/>
        <w:numPr>
          <w:ilvl w:val="0"/>
          <w:numId w:val="23"/>
        </w:numPr>
      </w:pPr>
      <w:r>
        <w:t>Youth advisory groups</w:t>
      </w:r>
    </w:p>
    <w:p w14:paraId="1E16B300" w14:textId="26999E01" w:rsidR="00FB2F25" w:rsidRDefault="00FB2F25" w:rsidP="001D1AC2">
      <w:pPr>
        <w:pStyle w:val="ListParagraph"/>
        <w:numPr>
          <w:ilvl w:val="0"/>
          <w:numId w:val="23"/>
        </w:numPr>
      </w:pPr>
      <w:r>
        <w:t>Co-design approaches</w:t>
      </w:r>
    </w:p>
    <w:p w14:paraId="750861F8" w14:textId="054807C8" w:rsidR="00FB2F25" w:rsidRDefault="00FB2F25" w:rsidP="001D1AC2">
      <w:pPr>
        <w:pStyle w:val="ListParagraph"/>
        <w:numPr>
          <w:ilvl w:val="0"/>
          <w:numId w:val="23"/>
        </w:numPr>
      </w:pPr>
      <w:r>
        <w:lastRenderedPageBreak/>
        <w:t>Participatory evaluation methods</w:t>
      </w:r>
    </w:p>
    <w:p w14:paraId="58B0BD98" w14:textId="418774B3" w:rsidR="00FB2F25" w:rsidRDefault="00FB2F25" w:rsidP="001D1AC2">
      <w:pPr>
        <w:pStyle w:val="ListParagraph"/>
        <w:numPr>
          <w:ilvl w:val="0"/>
          <w:numId w:val="23"/>
        </w:numPr>
      </w:pPr>
      <w:r>
        <w:t>Lived-experience leadership opportunities</w:t>
      </w:r>
    </w:p>
    <w:p w14:paraId="5B31F0EC" w14:textId="2150623B" w:rsidR="00FB2F25" w:rsidRDefault="00FB2F25" w:rsidP="00FB2F25">
      <w:r>
        <w:t>Meaningful participation strengthens the relevance, accessibility and effectiveness of services while recognising children and young people as active contributors to solutions rather than passive recipients of support.</w:t>
      </w:r>
      <w:r w:rsidR="00366828">
        <w:t xml:space="preserve"> </w:t>
      </w:r>
    </w:p>
    <w:p w14:paraId="0252672A" w14:textId="7964B283" w:rsidR="00FB2F25" w:rsidRDefault="00FB2F25" w:rsidP="00FB2F25">
      <w:r>
        <w:t xml:space="preserve">To achieve the National Plan’s vision of ending violence against women and children, responses must recognise children and young people as victim-survivors in their own right and ensure they have access to coordinated, trauma-informed and developmentally appropriate support. </w:t>
      </w:r>
    </w:p>
    <w:p w14:paraId="12221540" w14:textId="6FA2BF09" w:rsidR="004756AC" w:rsidRDefault="00FB2F25" w:rsidP="00FB2F25">
      <w:r>
        <w:t xml:space="preserve">This requires action </w:t>
      </w:r>
      <w:r w:rsidR="004756AC">
        <w:t xml:space="preserve">across families, schools, communities, health services, child protection and justice systems, with particular attention to children who experience multiple forms of disadvantage, including those affected by violence, parental incarceration, out-of-home care and youth justice involvement. By strengthening early identification, therapeutic support, continuity of care and meaningful participation, the Second Action Plan can improve safety, recovery and wellbeing outcomes for children and young people while helping break intergenerational cycles of violence and disadvantage. </w:t>
      </w:r>
    </w:p>
    <w:p w14:paraId="30EBCD5B" w14:textId="0FE403D3" w:rsidR="00B70312" w:rsidRPr="00B70312" w:rsidRDefault="00B70312" w:rsidP="00366828">
      <w:pPr>
        <w:rPr>
          <w:b/>
          <w:bCs/>
        </w:rPr>
      </w:pPr>
      <w:r w:rsidRPr="00B70312">
        <w:rPr>
          <w:b/>
          <w:bCs/>
        </w:rPr>
        <w:t>Emerging Forms of Harm</w:t>
      </w:r>
    </w:p>
    <w:p w14:paraId="1A64365F" w14:textId="70C0F3D0" w:rsidR="00B70312" w:rsidRDefault="00B70312" w:rsidP="00366828">
      <w:r w:rsidRPr="00B70312">
        <w:t>The Second Action Plan should also recognise the growing impact of technology-facilitated abuse, harmful online content, online exploitation and violence within peer and dating relationships. Young people in custody may be particularly vulnerable to these harms due to prior victimisation, disrupted education and social disadvantage. Responses should include digital literacy, healthy relationships education and targeted interventions that address online harms alongside other forms of violence and abuse.</w:t>
      </w:r>
    </w:p>
    <w:p w14:paraId="50046936" w14:textId="77777777" w:rsidR="003D2B7D" w:rsidRPr="00B10E4D" w:rsidRDefault="003D2B7D" w:rsidP="00B10E4D">
      <w:pPr>
        <w:ind w:left="360"/>
      </w:pPr>
    </w:p>
    <w:p w14:paraId="16E18270" w14:textId="6455B39D" w:rsidR="0072011D" w:rsidRDefault="0072011D">
      <w:pPr>
        <w:rPr>
          <w:b/>
          <w:bCs/>
          <w:sz w:val="28"/>
          <w:szCs w:val="28"/>
        </w:rPr>
      </w:pPr>
      <w:r>
        <w:rPr>
          <w:b/>
          <w:bCs/>
          <w:sz w:val="28"/>
          <w:szCs w:val="28"/>
        </w:rPr>
        <w:br w:type="page"/>
      </w:r>
    </w:p>
    <w:p w14:paraId="40DD79A8" w14:textId="5AF2277B" w:rsidR="00B10E94" w:rsidRPr="00B532A7" w:rsidRDefault="00B10E94" w:rsidP="00B10E94">
      <w:pPr>
        <w:rPr>
          <w:b/>
          <w:bCs/>
          <w:sz w:val="28"/>
          <w:szCs w:val="28"/>
        </w:rPr>
      </w:pPr>
      <w:r w:rsidRPr="00B532A7">
        <w:rPr>
          <w:b/>
          <w:bCs/>
          <w:sz w:val="28"/>
          <w:szCs w:val="28"/>
        </w:rPr>
        <w:lastRenderedPageBreak/>
        <w:t>Priority Area 4: People who use violence</w:t>
      </w:r>
    </w:p>
    <w:p w14:paraId="0B90E818" w14:textId="77777777" w:rsidR="00B10E94" w:rsidRPr="00B532A7" w:rsidRDefault="00B10E94" w:rsidP="00B10E94">
      <w:pPr>
        <w:rPr>
          <w:b/>
          <w:bCs/>
        </w:rPr>
      </w:pPr>
      <w:r w:rsidRPr="00B532A7">
        <w:rPr>
          <w:b/>
          <w:bCs/>
        </w:rPr>
        <w:t>When providing your feedback on this area, you might like to consider:</w:t>
      </w:r>
    </w:p>
    <w:p w14:paraId="51248DD3" w14:textId="77777777" w:rsidR="00B10E94" w:rsidRPr="00B532A7" w:rsidRDefault="00B10E94" w:rsidP="00B10E94">
      <w:pPr>
        <w:numPr>
          <w:ilvl w:val="0"/>
          <w:numId w:val="4"/>
        </w:numPr>
        <w:rPr>
          <w:b/>
          <w:bCs/>
        </w:rPr>
      </w:pPr>
      <w:r w:rsidRPr="00B532A7">
        <w:rPr>
          <w:b/>
          <w:bCs/>
        </w:rPr>
        <w:t>What would make the biggest difference in preventing and responding earlier to the use of violence?</w:t>
      </w:r>
    </w:p>
    <w:p w14:paraId="0261BED5" w14:textId="77777777" w:rsidR="00B10E94" w:rsidRPr="00B532A7" w:rsidRDefault="00B10E94" w:rsidP="00B10E94">
      <w:pPr>
        <w:numPr>
          <w:ilvl w:val="0"/>
          <w:numId w:val="4"/>
        </w:numPr>
        <w:rPr>
          <w:b/>
          <w:bCs/>
        </w:rPr>
      </w:pPr>
      <w:r w:rsidRPr="00B532A7">
        <w:rPr>
          <w:b/>
          <w:bCs/>
        </w:rPr>
        <w:t>How can services, families, communities, workplaces, institutions and others better recognise and respond safely to people using violence or at risk of using violence?</w:t>
      </w:r>
    </w:p>
    <w:p w14:paraId="7AE2A96C" w14:textId="77777777" w:rsidR="00B10E94" w:rsidRPr="00B532A7" w:rsidRDefault="00B10E94" w:rsidP="00B10E94">
      <w:pPr>
        <w:numPr>
          <w:ilvl w:val="0"/>
          <w:numId w:val="4"/>
        </w:numPr>
        <w:rPr>
          <w:b/>
          <w:bCs/>
        </w:rPr>
      </w:pPr>
      <w:r w:rsidRPr="00B532A7">
        <w:rPr>
          <w:b/>
          <w:bCs/>
        </w:rPr>
        <w:t>What approaches are most effective in supporting people who use violence to take accountability, change behaviours, and reduce the use of violence, while focusing on victim-survivor safety?</w:t>
      </w:r>
    </w:p>
    <w:p w14:paraId="648A8F58" w14:textId="77777777" w:rsidR="00B10E94" w:rsidRPr="00B532A7" w:rsidRDefault="00B10E94" w:rsidP="00B10E94">
      <w:pPr>
        <w:numPr>
          <w:ilvl w:val="0"/>
          <w:numId w:val="4"/>
        </w:numPr>
        <w:rPr>
          <w:b/>
          <w:bCs/>
        </w:rPr>
      </w:pPr>
      <w:r w:rsidRPr="00B532A7">
        <w:rPr>
          <w:b/>
          <w:bCs/>
        </w:rPr>
        <w:t>How can governments and services, among others, strengthen culturally safe, accessible and evidence-informed responses for a range of communities and cohorts?</w:t>
      </w:r>
    </w:p>
    <w:p w14:paraId="61F17EAB" w14:textId="3366C792" w:rsidR="00946164" w:rsidRDefault="00946164">
      <w:r>
        <w:t xml:space="preserve">Preventing and responding to the use of violence is essential to achieving the National Plan’s vision of ending violence against women and children. Effective responses must prioritise the safety of victim-survivors while holding people who use violence accountable for their behaviour and supporting meaningful, sustained behaviour change. Violence against women and children is driven by a range of individual, relational, community and societal factors. Responses therefore need to extend beyond crisis intervention and criminal justice sanctions to include earlier identification, evidence-informed interventions, coordinated risk management and long-term behaviour change strategies. </w:t>
      </w:r>
    </w:p>
    <w:p w14:paraId="5161D8CD" w14:textId="27E8105C" w:rsidR="00946164" w:rsidRDefault="00946164">
      <w:r>
        <w:t xml:space="preserve">While significant progress has been made in strengthening perpetrator responses across Australia, important gaps remain for people who use violence who have repeated contact with justice systems but limited access to intervention. One such gap is the growing number of individuals who cycle repeatedly between the community and custody, particularly through remand populations, without accessing targeted behaviour change interventions. </w:t>
      </w:r>
    </w:p>
    <w:p w14:paraId="55938FE4" w14:textId="5FF1B295" w:rsidR="00025A04" w:rsidRPr="00025A04" w:rsidRDefault="00025A04">
      <w:pPr>
        <w:rPr>
          <w:i/>
          <w:iCs/>
        </w:rPr>
      </w:pPr>
      <w:r w:rsidRPr="00025A04">
        <w:rPr>
          <w:i/>
          <w:iCs/>
        </w:rPr>
        <w:t>A Critical Opportunity for Earlier Intervention</w:t>
      </w:r>
    </w:p>
    <w:p w14:paraId="35BD1F54" w14:textId="35DE3F70" w:rsidR="008979D5" w:rsidRDefault="008979D5">
      <w:r>
        <w:t>Justice Health services are observing a growing population of people with patterns of domestic and family violence who move repeatedly between the community and custody, often for</w:t>
      </w:r>
      <w:r w:rsidR="00025A04">
        <w:t xml:space="preserve"> relatively</w:t>
      </w:r>
      <w:r>
        <w:t xml:space="preserve"> short periods</w:t>
      </w:r>
      <w:r w:rsidR="00025A04">
        <w:t>.</w:t>
      </w:r>
      <w:r>
        <w:t xml:space="preserve"> </w:t>
      </w:r>
      <w:r w:rsidR="00025A04">
        <w:t>Many spend time on</w:t>
      </w:r>
      <w:r>
        <w:t xml:space="preserve"> remand and</w:t>
      </w:r>
      <w:r w:rsidR="00025A04">
        <w:t xml:space="preserve"> are released before they can access existing perpetrator intervention programs, which are frequently designed for sentenced </w:t>
      </w:r>
      <w:r>
        <w:t xml:space="preserve">populations </w:t>
      </w:r>
      <w:r w:rsidR="00025A04">
        <w:t xml:space="preserve">or require longer periods of engagement. </w:t>
      </w:r>
      <w:r>
        <w:t xml:space="preserve">As a result, </w:t>
      </w:r>
      <w:r w:rsidR="00025A04">
        <w:t xml:space="preserve">some individuals return to the </w:t>
      </w:r>
      <w:r>
        <w:t>community without</w:t>
      </w:r>
      <w:r w:rsidR="00025A04">
        <w:t xml:space="preserve"> receiving</w:t>
      </w:r>
      <w:r>
        <w:t xml:space="preserve"> any meaningful </w:t>
      </w:r>
      <w:r>
        <w:lastRenderedPageBreak/>
        <w:t>intervention to address their use of violence</w:t>
      </w:r>
      <w:r w:rsidR="00025A04">
        <w:t>, despite repeated contact with justice and health systems</w:t>
      </w:r>
      <w:r>
        <w:t>.</w:t>
      </w:r>
      <w:r w:rsidR="00025A04">
        <w:t xml:space="preserve"> This represents a significant missed opportunity for early intervention.</w:t>
      </w:r>
    </w:p>
    <w:p w14:paraId="4D985A74" w14:textId="4C389D86" w:rsidR="00025A04" w:rsidRDefault="008979D5">
      <w:r>
        <w:t xml:space="preserve">Without targeted responses, patterns of coercive control, abuse and violence </w:t>
      </w:r>
      <w:r w:rsidR="00025A04">
        <w:t xml:space="preserve">may continue </w:t>
      </w:r>
      <w:r>
        <w:t>across successive relationships,</w:t>
      </w:r>
      <w:r w:rsidR="00025A04">
        <w:t xml:space="preserve"> resulting in </w:t>
      </w:r>
      <w:r>
        <w:t>ongoing harm for victim-survivors</w:t>
      </w:r>
      <w:r w:rsidR="00025A04">
        <w:t>, children, families and communities</w:t>
      </w:r>
      <w:r>
        <w:t xml:space="preserve">. </w:t>
      </w:r>
      <w:r w:rsidR="009704BE">
        <w:t xml:space="preserve">Health services play a critical role in reducing future violence by identifying people at risk of using violence, recognising health factors that may increase risk, supporting engagement with appropriate interventions, facilitating referral pathways, and ensuring continuity of care. While specialist behaviour change programs remain the responsibility of corrective and specialist services, custodial health services provide a unique opportunity to identify needs early and connect individuals with evidence-informed responses. </w:t>
      </w:r>
    </w:p>
    <w:p w14:paraId="24CA9A38" w14:textId="0D93E5D3" w:rsidR="008979D5" w:rsidRDefault="00025A04">
      <w:r>
        <w:t>Importantly, any intervention with people who use violence must be grounded in victim-survivor safety. The primary objective is not the wellbeing of the person using violence in isolation, but the reduction of risk and harm to current and future victim-survivors</w:t>
      </w:r>
      <w:r w:rsidR="008979D5">
        <w:t>.</w:t>
      </w:r>
    </w:p>
    <w:p w14:paraId="43593138" w14:textId="2BF77337" w:rsidR="00025A04" w:rsidRPr="00025A04" w:rsidRDefault="00025A04">
      <w:pPr>
        <w:rPr>
          <w:i/>
          <w:iCs/>
        </w:rPr>
      </w:pPr>
      <w:r w:rsidRPr="00025A04">
        <w:rPr>
          <w:i/>
          <w:iCs/>
        </w:rPr>
        <w:t>What Would Make the Biggest Difference in Preventing and Responding Earlier to the Use of Violence?</w:t>
      </w:r>
    </w:p>
    <w:p w14:paraId="7BACE370" w14:textId="54479AA5" w:rsidR="008979D5" w:rsidRDefault="008979D5">
      <w:r>
        <w:t xml:space="preserve">The most </w:t>
      </w:r>
      <w:r w:rsidR="00025A04">
        <w:t>significant opportunities for</w:t>
      </w:r>
      <w:r>
        <w:t xml:space="preserve"> reform</w:t>
      </w:r>
      <w:r w:rsidR="00025A04">
        <w:t xml:space="preserve"> </w:t>
      </w:r>
      <w:r>
        <w:t>include</w:t>
      </w:r>
      <w:r w:rsidR="00875971">
        <w:t>:</w:t>
      </w:r>
    </w:p>
    <w:p w14:paraId="4BD07C5D" w14:textId="77777777" w:rsidR="00025A04" w:rsidRDefault="00025A04" w:rsidP="00DB6C25">
      <w:pPr>
        <w:pStyle w:val="ListParagraph"/>
        <w:numPr>
          <w:ilvl w:val="0"/>
          <w:numId w:val="10"/>
        </w:numPr>
      </w:pPr>
      <w:r>
        <w:t>Expanding early intervention opportunities within remand populations</w:t>
      </w:r>
    </w:p>
    <w:p w14:paraId="72667800" w14:textId="21E372DB" w:rsidR="008979D5" w:rsidRDefault="00025A04" w:rsidP="005600D2">
      <w:r>
        <w:t xml:space="preserve">Remand is often </w:t>
      </w:r>
      <w:r w:rsidR="008979D5">
        <w:t xml:space="preserve">the first, </w:t>
      </w:r>
      <w:r>
        <w:t>and sometimes</w:t>
      </w:r>
      <w:r w:rsidR="008979D5">
        <w:t xml:space="preserve"> only, point of system contact for people who use violence.</w:t>
      </w:r>
      <w:r>
        <w:t xml:space="preserve"> Earlier engagement during these periods may create opportunities to interrupt patterns of abuse before further harm occurs.</w:t>
      </w:r>
    </w:p>
    <w:p w14:paraId="79FB11C8" w14:textId="679FC795" w:rsidR="00E25361" w:rsidRDefault="00E25361" w:rsidP="00DB6C25">
      <w:pPr>
        <w:pStyle w:val="ListParagraph"/>
        <w:numPr>
          <w:ilvl w:val="0"/>
          <w:numId w:val="10"/>
        </w:numPr>
      </w:pPr>
      <w:r>
        <w:t xml:space="preserve">Increasing </w:t>
      </w:r>
      <w:r w:rsidR="009704BE">
        <w:t xml:space="preserve">opportunities for earlier </w:t>
      </w:r>
      <w:r>
        <w:t>intervention.</w:t>
      </w:r>
    </w:p>
    <w:p w14:paraId="26603521" w14:textId="3B7F6C68" w:rsidR="008979D5" w:rsidRDefault="009704BE" w:rsidP="005600D2">
      <w:r>
        <w:t xml:space="preserve">Periods of custody provide a unique opportunity for health assessment and engagement with individuals who may otherwise have limited contact with health services. Custodial health clinicians are often the first professionals to identify mental illness, substance dependence, cognitive impairment, acquired brain injury, trauma histories and other health factors associated with increased risk of future violence. Early identification enables timely referral to appropriate interventions and supports continuity of care following release. </w:t>
      </w:r>
    </w:p>
    <w:p w14:paraId="02106BAD" w14:textId="4BC5B2D4" w:rsidR="00E25361" w:rsidRDefault="00E25361" w:rsidP="00DB6C25">
      <w:pPr>
        <w:pStyle w:val="ListParagraph"/>
        <w:numPr>
          <w:ilvl w:val="0"/>
          <w:numId w:val="10"/>
        </w:numPr>
      </w:pPr>
      <w:r>
        <w:t xml:space="preserve">Recognising custodial health services as </w:t>
      </w:r>
      <w:r w:rsidR="009704BE">
        <w:t>an essential partner in integrated perpetrator response systems</w:t>
      </w:r>
      <w:r>
        <w:t xml:space="preserve">. </w:t>
      </w:r>
    </w:p>
    <w:p w14:paraId="3BD261F0" w14:textId="133AED7C" w:rsidR="008979D5" w:rsidRDefault="008979D5" w:rsidP="005600D2">
      <w:r>
        <w:t>Justice Health</w:t>
      </w:r>
      <w:r w:rsidR="00E25361">
        <w:t xml:space="preserve"> services contribute</w:t>
      </w:r>
      <w:r w:rsidR="009704BE">
        <w:t xml:space="preserve"> through comprehensive health</w:t>
      </w:r>
      <w:r w:rsidR="00E25361">
        <w:t xml:space="preserve"> assessment, </w:t>
      </w:r>
      <w:r w:rsidR="009704BE">
        <w:t xml:space="preserve">identification of risk factors, treatment of underlying health conditions, engagement with patients, </w:t>
      </w:r>
      <w:r w:rsidR="00E25361">
        <w:t>referral</w:t>
      </w:r>
      <w:r w:rsidR="000C004B">
        <w:t xml:space="preserve"> to appropriate interventions, and continuity of care across custody and community settings. These functions complement, but do not replace, </w:t>
      </w:r>
      <w:r w:rsidR="000C004B">
        <w:lastRenderedPageBreak/>
        <w:t>corrective services’ responsibility for offender management and specialist behaviour change programs.</w:t>
      </w:r>
    </w:p>
    <w:p w14:paraId="1081D087" w14:textId="77777777" w:rsidR="00E25361" w:rsidRDefault="00E25361" w:rsidP="00DB6C25">
      <w:pPr>
        <w:pStyle w:val="ListParagraph"/>
        <w:numPr>
          <w:ilvl w:val="0"/>
          <w:numId w:val="10"/>
        </w:numPr>
      </w:pPr>
      <w:r>
        <w:t>Strengthen</w:t>
      </w:r>
      <w:r w:rsidR="008979D5">
        <w:t xml:space="preserve">ing continuity of intervention </w:t>
      </w:r>
      <w:r>
        <w:t>across</w:t>
      </w:r>
      <w:r w:rsidR="008979D5">
        <w:t xml:space="preserve"> custody </w:t>
      </w:r>
      <w:r>
        <w:t xml:space="preserve">and </w:t>
      </w:r>
      <w:r w:rsidR="008979D5">
        <w:t xml:space="preserve">community </w:t>
      </w:r>
      <w:r>
        <w:t>settings</w:t>
      </w:r>
      <w:r w:rsidR="008979D5">
        <w:t>.</w:t>
      </w:r>
    </w:p>
    <w:p w14:paraId="0E390446" w14:textId="285C4CDF" w:rsidR="008979D5" w:rsidRDefault="00E25361" w:rsidP="00E25361">
      <w:r>
        <w:t xml:space="preserve">Behaviour change requires sustained engagement over time. Models that support continuity between custodial and community-based services may improve participation and reduce service disengagement following release. </w:t>
      </w:r>
      <w:r w:rsidR="008979D5">
        <w:t xml:space="preserve">  </w:t>
      </w:r>
    </w:p>
    <w:p w14:paraId="39164342" w14:textId="739AE40A" w:rsidR="00B10E94" w:rsidRPr="00F16E01" w:rsidRDefault="000B66F7">
      <w:pPr>
        <w:rPr>
          <w:i/>
          <w:iCs/>
        </w:rPr>
      </w:pPr>
      <w:r w:rsidRPr="00F16E01">
        <w:rPr>
          <w:i/>
          <w:iCs/>
        </w:rPr>
        <w:t>Recognising and Responding to People Using Violence</w:t>
      </w:r>
    </w:p>
    <w:p w14:paraId="6F6B5AF1" w14:textId="601507CF" w:rsidR="00E25361" w:rsidRDefault="00E25361">
      <w:r w:rsidRPr="00E25361">
        <w:t>Services, communities and institutions all have a role in identifying and responding safely to people who use violence.</w:t>
      </w:r>
      <w:r w:rsidR="00366828">
        <w:t xml:space="preserve"> </w:t>
      </w:r>
      <w:r>
        <w:t>Many indiv</w:t>
      </w:r>
      <w:r w:rsidR="000B66F7">
        <w:t>iduals who</w:t>
      </w:r>
      <w:r>
        <w:t xml:space="preserve"> come into contact with custodial health services present with complex and intersecting needs, including </w:t>
      </w:r>
      <w:r w:rsidR="000B66F7">
        <w:t>substance use disorders, mental illness, cognitive impairment</w:t>
      </w:r>
      <w:r>
        <w:t>, social disadvantage and histories of trauma</w:t>
      </w:r>
      <w:r w:rsidR="000B66F7">
        <w:t xml:space="preserve">. </w:t>
      </w:r>
      <w:r w:rsidR="00A12406">
        <w:t>However,</w:t>
      </w:r>
      <w:r w:rsidR="000B66F7">
        <w:t xml:space="preserve"> </w:t>
      </w:r>
      <w:r>
        <w:t>violence-related behaviours are not always recognised as part of broader patterns of coercive control and abuse. I</w:t>
      </w:r>
      <w:r w:rsidR="000B66F7">
        <w:t>n the absence of structured frameworks, violen</w:t>
      </w:r>
      <w:r w:rsidR="00694B5D">
        <w:t>t</w:t>
      </w:r>
      <w:r w:rsidR="000B66F7">
        <w:t xml:space="preserve"> behaviour is often treated as an isolated risk issue rather than part of a pattern of DF</w:t>
      </w:r>
      <w:r w:rsidR="005600D2">
        <w:t>S</w:t>
      </w:r>
      <w:r w:rsidR="000B66F7">
        <w:t xml:space="preserve">V. </w:t>
      </w:r>
    </w:p>
    <w:p w14:paraId="506D13CD" w14:textId="5E815E21" w:rsidR="000B66F7" w:rsidRDefault="000B66F7">
      <w:r>
        <w:t xml:space="preserve">There is a need to </w:t>
      </w:r>
      <w:r w:rsidR="00E25361">
        <w:t>strengthen workforce capability</w:t>
      </w:r>
      <w:r>
        <w:t xml:space="preserve"> to:</w:t>
      </w:r>
    </w:p>
    <w:p w14:paraId="10CB72A6" w14:textId="275A82CD" w:rsidR="000B66F7" w:rsidRDefault="000B66F7" w:rsidP="00DB6C25">
      <w:pPr>
        <w:pStyle w:val="ListParagraph"/>
        <w:numPr>
          <w:ilvl w:val="0"/>
          <w:numId w:val="11"/>
        </w:numPr>
      </w:pPr>
      <w:r>
        <w:t>Recognise indicators of DF</w:t>
      </w:r>
      <w:r w:rsidR="00694B5D">
        <w:t>S</w:t>
      </w:r>
      <w:r>
        <w:t>V use, including coercive control and non-physical forms of abuse</w:t>
      </w:r>
      <w:r w:rsidR="00E25361">
        <w:t>.</w:t>
      </w:r>
    </w:p>
    <w:p w14:paraId="76D91B5F" w14:textId="45A28F88" w:rsidR="00E25361" w:rsidRDefault="00E25361" w:rsidP="00DB6C25">
      <w:pPr>
        <w:pStyle w:val="ListParagraph"/>
        <w:numPr>
          <w:ilvl w:val="0"/>
          <w:numId w:val="11"/>
        </w:numPr>
      </w:pPr>
      <w:r>
        <w:t xml:space="preserve">Identify </w:t>
      </w:r>
      <w:r w:rsidR="000C004B">
        <w:t>health conditions associated with increased violence risk</w:t>
      </w:r>
      <w:r>
        <w:t>.</w:t>
      </w:r>
    </w:p>
    <w:p w14:paraId="65ED0136" w14:textId="446761F3" w:rsidR="000B66F7" w:rsidRDefault="000C004B" w:rsidP="00DB6C25">
      <w:pPr>
        <w:pStyle w:val="ListParagraph"/>
        <w:numPr>
          <w:ilvl w:val="0"/>
          <w:numId w:val="11"/>
        </w:numPr>
      </w:pPr>
      <w:r>
        <w:t>Assess substance dependence and withdrawal</w:t>
      </w:r>
      <w:r w:rsidR="00E25361">
        <w:t>.</w:t>
      </w:r>
      <w:r w:rsidR="000B66F7">
        <w:t xml:space="preserve"> </w:t>
      </w:r>
    </w:p>
    <w:p w14:paraId="6C6E0D51" w14:textId="189AB1B8" w:rsidR="00E25361" w:rsidRDefault="000C004B" w:rsidP="00DB6C25">
      <w:pPr>
        <w:pStyle w:val="ListParagraph"/>
        <w:numPr>
          <w:ilvl w:val="0"/>
          <w:numId w:val="11"/>
        </w:numPr>
      </w:pPr>
      <w:r>
        <w:t>Assess cognitive impairment and acquired brain injury</w:t>
      </w:r>
      <w:r w:rsidR="00E25361">
        <w:t>.</w:t>
      </w:r>
    </w:p>
    <w:p w14:paraId="6EE868FE" w14:textId="1A54010B" w:rsidR="000B66F7" w:rsidRDefault="000C004B" w:rsidP="00DB6C25">
      <w:pPr>
        <w:pStyle w:val="ListParagraph"/>
        <w:numPr>
          <w:ilvl w:val="0"/>
          <w:numId w:val="11"/>
        </w:numPr>
      </w:pPr>
      <w:r>
        <w:t>Identify untreated mental illness</w:t>
      </w:r>
      <w:r w:rsidR="000B66F7">
        <w:t>.</w:t>
      </w:r>
    </w:p>
    <w:p w14:paraId="000F13B4" w14:textId="10147869" w:rsidR="000C004B" w:rsidRDefault="000C004B" w:rsidP="00DB6C25">
      <w:pPr>
        <w:pStyle w:val="ListParagraph"/>
        <w:numPr>
          <w:ilvl w:val="0"/>
          <w:numId w:val="11"/>
        </w:numPr>
      </w:pPr>
      <w:r>
        <w:t>Understand suicide and self-harm risk.</w:t>
      </w:r>
    </w:p>
    <w:p w14:paraId="614AD9EC" w14:textId="7C5C09CA" w:rsidR="000C004B" w:rsidRDefault="000C004B" w:rsidP="00DB6C25">
      <w:pPr>
        <w:pStyle w:val="ListParagraph"/>
        <w:numPr>
          <w:ilvl w:val="0"/>
          <w:numId w:val="11"/>
        </w:numPr>
      </w:pPr>
      <w:r>
        <w:t>Facilitate referral into appropriate health and specialist services.</w:t>
      </w:r>
    </w:p>
    <w:p w14:paraId="693ACE97" w14:textId="57689BF2" w:rsidR="000C004B" w:rsidRDefault="000C004B" w:rsidP="00DB6C25">
      <w:pPr>
        <w:pStyle w:val="ListParagraph"/>
        <w:numPr>
          <w:ilvl w:val="0"/>
          <w:numId w:val="11"/>
        </w:numPr>
      </w:pPr>
      <w:r>
        <w:t>Document findings to support multidisciplinary risk management.</w:t>
      </w:r>
    </w:p>
    <w:p w14:paraId="5755ABB1" w14:textId="6D9E03C0" w:rsidR="00C901A9" w:rsidRPr="00C901A9" w:rsidRDefault="00C901A9" w:rsidP="000B66F7">
      <w:r>
        <w:t xml:space="preserve">Effective identification should not rely solely on criminal charges or convictions. Opportunities may exist across health, justice and community settings to identify concerning behaviours earlier and connect individuals with intervention and support. </w:t>
      </w:r>
    </w:p>
    <w:p w14:paraId="54BC7CAD" w14:textId="05573139" w:rsidR="000B66F7" w:rsidRPr="00F16E01" w:rsidRDefault="000B66F7" w:rsidP="000B66F7">
      <w:pPr>
        <w:rPr>
          <w:i/>
          <w:iCs/>
        </w:rPr>
      </w:pPr>
      <w:r w:rsidRPr="00F16E01">
        <w:rPr>
          <w:i/>
          <w:iCs/>
        </w:rPr>
        <w:t xml:space="preserve">Effective Approaches </w:t>
      </w:r>
      <w:r w:rsidR="00C901A9">
        <w:rPr>
          <w:i/>
          <w:iCs/>
        </w:rPr>
        <w:t>in Supporting</w:t>
      </w:r>
      <w:r w:rsidRPr="00F16E01">
        <w:rPr>
          <w:i/>
          <w:iCs/>
        </w:rPr>
        <w:t xml:space="preserve"> Behaviour Change</w:t>
      </w:r>
    </w:p>
    <w:p w14:paraId="372C2C8F" w14:textId="3307230D" w:rsidR="00C901A9" w:rsidRDefault="00C901A9" w:rsidP="000B66F7">
      <w:r>
        <w:t xml:space="preserve">There is growing recognition that effective perpetrator responses require more than punitive measures alone. While accountability remains essential, sustainable behaviour change often requires interventions that address the factors contributing to the continued use of violence. </w:t>
      </w:r>
    </w:p>
    <w:p w14:paraId="7297E6F6" w14:textId="2136109C" w:rsidR="000B66F7" w:rsidRDefault="00682BAF" w:rsidP="000B66F7">
      <w:r>
        <w:t>E</w:t>
      </w:r>
      <w:r w:rsidR="000B66F7">
        <w:t>ffective</w:t>
      </w:r>
      <w:r>
        <w:t xml:space="preserve"> approaches include</w:t>
      </w:r>
      <w:r w:rsidR="000B66F7">
        <w:t>:</w:t>
      </w:r>
    </w:p>
    <w:p w14:paraId="73C6C9AF" w14:textId="77777777" w:rsidR="000C004B" w:rsidRDefault="000C004B" w:rsidP="000C004B">
      <w:pPr>
        <w:pStyle w:val="ListParagraph"/>
        <w:numPr>
          <w:ilvl w:val="0"/>
          <w:numId w:val="12"/>
        </w:numPr>
      </w:pPr>
      <w:r>
        <w:t>Comprehensive health assessment</w:t>
      </w:r>
    </w:p>
    <w:p w14:paraId="77E6FEB8" w14:textId="23669983" w:rsidR="000C004B" w:rsidRDefault="000C004B" w:rsidP="00DB6C25">
      <w:pPr>
        <w:pStyle w:val="ListParagraph"/>
        <w:numPr>
          <w:ilvl w:val="0"/>
          <w:numId w:val="12"/>
        </w:numPr>
      </w:pPr>
      <w:r>
        <w:lastRenderedPageBreak/>
        <w:t>Treatment of mental illness where clinically indicated</w:t>
      </w:r>
    </w:p>
    <w:p w14:paraId="74373C9D" w14:textId="704C8AD0" w:rsidR="000C004B" w:rsidRDefault="000C004B" w:rsidP="00DB6C25">
      <w:pPr>
        <w:pStyle w:val="ListParagraph"/>
        <w:numPr>
          <w:ilvl w:val="0"/>
          <w:numId w:val="12"/>
        </w:numPr>
      </w:pPr>
      <w:r>
        <w:t>Management of substance use disorders</w:t>
      </w:r>
    </w:p>
    <w:p w14:paraId="2A5BE381" w14:textId="138B8EF4" w:rsidR="000C004B" w:rsidRDefault="000C004B" w:rsidP="00DB6C25">
      <w:pPr>
        <w:pStyle w:val="ListParagraph"/>
        <w:numPr>
          <w:ilvl w:val="0"/>
          <w:numId w:val="12"/>
        </w:numPr>
      </w:pPr>
      <w:r>
        <w:t>Assessment of cognitive impairment and neurodevelopmental disorders.</w:t>
      </w:r>
    </w:p>
    <w:p w14:paraId="02047D64" w14:textId="10112A8E" w:rsidR="000B66F7" w:rsidRDefault="000C004B" w:rsidP="000C004B">
      <w:pPr>
        <w:pStyle w:val="ListParagraph"/>
        <w:numPr>
          <w:ilvl w:val="0"/>
          <w:numId w:val="12"/>
        </w:numPr>
      </w:pPr>
      <w:r>
        <w:t>Trauma-informed clinical engagement that supports accountability</w:t>
      </w:r>
      <w:r w:rsidR="00682BAF">
        <w:t xml:space="preserve">-focused interventions </w:t>
      </w:r>
      <w:r w:rsidR="00597783">
        <w:t>and help</w:t>
      </w:r>
      <w:r w:rsidR="00682BAF">
        <w:t xml:space="preserve"> individuals to recognise, acknowledge and take responsibility for their behaviour</w:t>
      </w:r>
      <w:r w:rsidR="000B66F7">
        <w:t>.</w:t>
      </w:r>
    </w:p>
    <w:p w14:paraId="2F180D92" w14:textId="1C918365" w:rsidR="000C004B" w:rsidRDefault="000C004B" w:rsidP="00DB6C25">
      <w:pPr>
        <w:pStyle w:val="ListParagraph"/>
        <w:numPr>
          <w:ilvl w:val="0"/>
          <w:numId w:val="12"/>
        </w:numPr>
      </w:pPr>
      <w:r>
        <w:t>Referral into specialist perpetrator intervention programs</w:t>
      </w:r>
    </w:p>
    <w:p w14:paraId="3204389A" w14:textId="11FF48C1" w:rsidR="000C004B" w:rsidRDefault="000C004B" w:rsidP="00DB6C25">
      <w:pPr>
        <w:pStyle w:val="ListParagraph"/>
        <w:numPr>
          <w:ilvl w:val="0"/>
          <w:numId w:val="12"/>
        </w:numPr>
      </w:pPr>
      <w:r>
        <w:t>Coordinated care planning between custody and community</w:t>
      </w:r>
    </w:p>
    <w:p w14:paraId="7C22931B" w14:textId="47B15C4A" w:rsidR="000C004B" w:rsidRDefault="000C004B" w:rsidP="00DB6C25">
      <w:pPr>
        <w:pStyle w:val="ListParagraph"/>
        <w:numPr>
          <w:ilvl w:val="0"/>
          <w:numId w:val="12"/>
        </w:numPr>
      </w:pPr>
      <w:r>
        <w:t xml:space="preserve">Multidisciplinary information sharing that priorities victim-survivor safety. </w:t>
      </w:r>
    </w:p>
    <w:p w14:paraId="37E82AB2" w14:textId="77777777" w:rsidR="00682BAF" w:rsidRDefault="00682BAF" w:rsidP="00682BAF">
      <w:r>
        <w:t xml:space="preserve">Victim-survivor safety should remain the central measure of success for all interventions. Participation in programs alone should not be considered evidence of reduced risk or behaviour change. </w:t>
      </w:r>
    </w:p>
    <w:p w14:paraId="05950837" w14:textId="48F21AA4" w:rsidR="000B66F7" w:rsidRPr="00682BAF" w:rsidRDefault="00682BAF" w:rsidP="00682BAF">
      <w:pPr>
        <w:rPr>
          <w:i/>
          <w:iCs/>
        </w:rPr>
      </w:pPr>
      <w:r w:rsidRPr="00682BAF">
        <w:rPr>
          <w:i/>
          <w:iCs/>
        </w:rPr>
        <w:t>The Role of Trauma-Informed Practice</w:t>
      </w:r>
      <w:r w:rsidR="000B66F7" w:rsidRPr="00682BAF">
        <w:rPr>
          <w:i/>
          <w:iCs/>
        </w:rPr>
        <w:t xml:space="preserve"> </w:t>
      </w:r>
    </w:p>
    <w:p w14:paraId="36FD752A" w14:textId="1526B1BE" w:rsidR="000B66F7" w:rsidRDefault="0078257E" w:rsidP="00A12406">
      <w:r>
        <w:t xml:space="preserve">Many individuals who use violence have experienced significant trauma, adversity or victimisation throughout their lives. Understanding these experiences may assist services to engage </w:t>
      </w:r>
      <w:r w:rsidR="00A12406">
        <w:t xml:space="preserve">participants, </w:t>
      </w:r>
      <w:r>
        <w:t xml:space="preserve">identify underlying needs and improve intervention effectiveness. However, trauma does not cause violence and should never be used to excuse abusive behaviour. </w:t>
      </w:r>
      <w:r w:rsidR="00733726" w:rsidRPr="00733726">
        <w:t>While many people who use violence have experienced trauma and adversity, responsibility for violence remains with the individual. Addressing health needs should be understood as complementing, not replacing, accountability-based interventions.</w:t>
      </w:r>
      <w:r>
        <w:t xml:space="preserve"> They should provide a framework for understanding pathways into violence while </w:t>
      </w:r>
      <w:r w:rsidR="00733726">
        <w:t>m</w:t>
      </w:r>
      <w:r>
        <w:t>aintaining clear expectations regarding responsibility, behaviour change and victim-survivor safety.</w:t>
      </w:r>
    </w:p>
    <w:p w14:paraId="271CAF5A" w14:textId="187D05C9" w:rsidR="0078257E" w:rsidRDefault="0078257E" w:rsidP="00A12406">
      <w:r>
        <w:t xml:space="preserve">Without a trauma-informed lens, interventions may fail to engage some participants or address important contributing factors. Equally, without accountability, interventions risk minimising harm and failing victim-survivors. Effective responses require both. </w:t>
      </w:r>
    </w:p>
    <w:p w14:paraId="3586E8E8" w14:textId="08347004" w:rsidR="00A12406" w:rsidRPr="00F16E01" w:rsidRDefault="00A12406" w:rsidP="00A12406">
      <w:pPr>
        <w:rPr>
          <w:i/>
          <w:iCs/>
        </w:rPr>
      </w:pPr>
      <w:r w:rsidRPr="00F16E01">
        <w:rPr>
          <w:i/>
          <w:iCs/>
        </w:rPr>
        <w:t>Strengthening Culturally Safe and Accessible Responses</w:t>
      </w:r>
    </w:p>
    <w:p w14:paraId="26AEF1D8" w14:textId="77777777" w:rsidR="0078257E" w:rsidRDefault="00A12406" w:rsidP="00A12406">
      <w:r>
        <w:t>Aboriginal and Torres Strait Islander people are overrepresented among both victim-survivors and people who use violence in custody, reflecting the ongoing impacts of colonisation, intergenerational trauma, systemic</w:t>
      </w:r>
      <w:r w:rsidR="0078257E">
        <w:t xml:space="preserve"> racism and social</w:t>
      </w:r>
      <w:r>
        <w:t xml:space="preserve"> disadvantage. Responses must</w:t>
      </w:r>
      <w:r w:rsidR="0078257E">
        <w:t xml:space="preserve"> be culturally safe, community-led and grounded in self-determination.</w:t>
      </w:r>
      <w:r>
        <w:t xml:space="preserve"> </w:t>
      </w:r>
    </w:p>
    <w:p w14:paraId="22D8093A" w14:textId="4FC9CFDE" w:rsidR="00A12406" w:rsidRDefault="0078257E" w:rsidP="00A12406">
      <w:r>
        <w:t>The Second Action Plan should support</w:t>
      </w:r>
      <w:r w:rsidR="00A12406">
        <w:t>:</w:t>
      </w:r>
      <w:r w:rsidR="00F16E01">
        <w:t xml:space="preserve"> </w:t>
      </w:r>
    </w:p>
    <w:p w14:paraId="026B3B51" w14:textId="77777777" w:rsidR="0078257E" w:rsidRDefault="0078257E" w:rsidP="00DB6C25">
      <w:pPr>
        <w:pStyle w:val="ListParagraph"/>
        <w:numPr>
          <w:ilvl w:val="0"/>
          <w:numId w:val="13"/>
        </w:numPr>
      </w:pPr>
      <w:r>
        <w:t>Aboriginal-</w:t>
      </w:r>
      <w:r w:rsidR="00A12406">
        <w:t>led</w:t>
      </w:r>
      <w:r>
        <w:t xml:space="preserve"> and</w:t>
      </w:r>
      <w:r w:rsidR="00A12406">
        <w:t xml:space="preserve"> community-designed behaviour change programs</w:t>
      </w:r>
      <w:r>
        <w:t>.</w:t>
      </w:r>
    </w:p>
    <w:p w14:paraId="1D472D7A" w14:textId="54E36625" w:rsidR="00A12406" w:rsidRDefault="0078257E" w:rsidP="00DB6C25">
      <w:pPr>
        <w:pStyle w:val="ListParagraph"/>
        <w:numPr>
          <w:ilvl w:val="0"/>
          <w:numId w:val="13"/>
        </w:numPr>
      </w:pPr>
      <w:r>
        <w:t xml:space="preserve">Partnerships with </w:t>
      </w:r>
      <w:r w:rsidR="00A12406">
        <w:t>Aboriginal Community Controlled Organisations.</w:t>
      </w:r>
    </w:p>
    <w:p w14:paraId="6241CD21" w14:textId="77777777" w:rsidR="0078257E" w:rsidRDefault="00A12406" w:rsidP="00DB6C25">
      <w:pPr>
        <w:pStyle w:val="ListParagraph"/>
        <w:numPr>
          <w:ilvl w:val="0"/>
          <w:numId w:val="13"/>
        </w:numPr>
      </w:pPr>
      <w:r>
        <w:t>Workforce development</w:t>
      </w:r>
      <w:r w:rsidR="0078257E">
        <w:t xml:space="preserve"> initiatives that strengthen </w:t>
      </w:r>
      <w:r>
        <w:t>cultural safe</w:t>
      </w:r>
      <w:r w:rsidR="0078257E">
        <w:t>ty and</w:t>
      </w:r>
      <w:r>
        <w:t xml:space="preserve"> anti-racist</w:t>
      </w:r>
      <w:r w:rsidR="0078257E">
        <w:t xml:space="preserve"> practice</w:t>
      </w:r>
      <w:r>
        <w:t>.</w:t>
      </w:r>
    </w:p>
    <w:p w14:paraId="531D32E4" w14:textId="77777777" w:rsidR="0078257E" w:rsidRDefault="0078257E" w:rsidP="00DB6C25">
      <w:pPr>
        <w:pStyle w:val="ListParagraph"/>
        <w:numPr>
          <w:ilvl w:val="0"/>
          <w:numId w:val="13"/>
        </w:numPr>
      </w:pPr>
      <w:r>
        <w:lastRenderedPageBreak/>
        <w:t>Healing-informed approaches that recognise the relationship between trauma, wellbeing and violence prevention.</w:t>
      </w:r>
    </w:p>
    <w:p w14:paraId="5DBA5894" w14:textId="77777777" w:rsidR="0078257E" w:rsidRDefault="0078257E" w:rsidP="00DB6C25">
      <w:pPr>
        <w:pStyle w:val="ListParagraph"/>
        <w:numPr>
          <w:ilvl w:val="0"/>
          <w:numId w:val="13"/>
        </w:numPr>
      </w:pPr>
      <w:r>
        <w:t>Improved continuity of support across custody and community settings.</w:t>
      </w:r>
    </w:p>
    <w:p w14:paraId="12FA8487" w14:textId="77777777" w:rsidR="0078257E" w:rsidRDefault="0078257E" w:rsidP="0078257E">
      <w:r>
        <w:t>Responses should also be accessible and responsive to people with disability, cognitive impairment, mental illness, substance use disorders, and people from culturally and linguistically diverse communities.</w:t>
      </w:r>
    </w:p>
    <w:p w14:paraId="46B26D87" w14:textId="77777777" w:rsidR="00597783" w:rsidRPr="005935F2" w:rsidRDefault="00597783" w:rsidP="00597783">
      <w:pPr>
        <w:rPr>
          <w:i/>
          <w:iCs/>
        </w:rPr>
      </w:pPr>
      <w:r w:rsidRPr="005935F2">
        <w:rPr>
          <w:i/>
          <w:iCs/>
        </w:rPr>
        <w:t>Continuity of Care</w:t>
      </w:r>
    </w:p>
    <w:p w14:paraId="4620B9A5" w14:textId="66BA2DD0" w:rsidR="00597783" w:rsidRDefault="00597783" w:rsidP="00597783">
      <w:r>
        <w:t xml:space="preserve">People leaving custody frequently experience interruptions in healthcare, medication, alcohol and other drug treatment, mental health services and psychosocial supports. Continuity of care reduces disengagement from services, strengthens protective factors and provides opportunities for ongoing monitoring, referral and coordinated responses where risks remain elevated. </w:t>
      </w:r>
    </w:p>
    <w:p w14:paraId="4AF8E232" w14:textId="2FF0F3AD" w:rsidR="00A12406" w:rsidRDefault="0078257E" w:rsidP="0078257E">
      <w:pPr>
        <w:rPr>
          <w:i/>
          <w:iCs/>
        </w:rPr>
      </w:pPr>
      <w:r w:rsidRPr="0078257E">
        <w:rPr>
          <w:i/>
          <w:iCs/>
        </w:rPr>
        <w:t xml:space="preserve">Improving System Responses </w:t>
      </w:r>
      <w:r w:rsidR="00A12406" w:rsidRPr="0078257E">
        <w:rPr>
          <w:i/>
          <w:iCs/>
        </w:rPr>
        <w:t xml:space="preserve"> </w:t>
      </w:r>
    </w:p>
    <w:p w14:paraId="0D56B4B3" w14:textId="4B79F208" w:rsidR="0078257E" w:rsidRDefault="0078257E" w:rsidP="0078257E">
      <w:r>
        <w:t>Effective perpetrator responses require coordinated action across justice, health, specialist DFSV services and community-based organisations.</w:t>
      </w:r>
    </w:p>
    <w:p w14:paraId="7D8D50B8" w14:textId="326B748F" w:rsidR="0078257E" w:rsidRDefault="0078257E" w:rsidP="0078257E">
      <w:r>
        <w:t>The Second Action Plan should support:</w:t>
      </w:r>
    </w:p>
    <w:p w14:paraId="04E00DE9" w14:textId="133FFB87" w:rsidR="0078257E" w:rsidRDefault="0078257E" w:rsidP="001D1AC2">
      <w:pPr>
        <w:pStyle w:val="ListParagraph"/>
        <w:numPr>
          <w:ilvl w:val="0"/>
          <w:numId w:val="24"/>
        </w:numPr>
      </w:pPr>
      <w:r>
        <w:t>Formal integration of custodial health services with perpetrator response frameworks.</w:t>
      </w:r>
    </w:p>
    <w:p w14:paraId="49852096" w14:textId="7136D102" w:rsidR="0078257E" w:rsidRDefault="0078257E" w:rsidP="001D1AC2">
      <w:pPr>
        <w:pStyle w:val="ListParagraph"/>
        <w:numPr>
          <w:ilvl w:val="0"/>
          <w:numId w:val="24"/>
        </w:numPr>
      </w:pPr>
      <w:r>
        <w:t>Improved referral pathways between custody and community-based intervention programs.</w:t>
      </w:r>
    </w:p>
    <w:p w14:paraId="3042F836" w14:textId="04A87211" w:rsidR="0078257E" w:rsidRDefault="0078257E" w:rsidP="001D1AC2">
      <w:pPr>
        <w:pStyle w:val="ListParagraph"/>
        <w:numPr>
          <w:ilvl w:val="0"/>
          <w:numId w:val="24"/>
        </w:numPr>
      </w:pPr>
      <w:r>
        <w:t>Shared risk assessment and information sharing</w:t>
      </w:r>
      <w:r w:rsidR="00374887">
        <w:t xml:space="preserve"> arrangements that prioritise victim-survivor safety.</w:t>
      </w:r>
    </w:p>
    <w:p w14:paraId="44D72474" w14:textId="3D2F64BD" w:rsidR="00374887" w:rsidRDefault="00374887" w:rsidP="001D1AC2">
      <w:pPr>
        <w:pStyle w:val="ListParagraph"/>
        <w:numPr>
          <w:ilvl w:val="0"/>
          <w:numId w:val="24"/>
        </w:numPr>
      </w:pPr>
      <w:r>
        <w:t xml:space="preserve">Throughcare models that support continuity of intervention following release. </w:t>
      </w:r>
    </w:p>
    <w:p w14:paraId="39CBB2FB" w14:textId="3574683D" w:rsidR="00374887" w:rsidRDefault="00374887" w:rsidP="001D1AC2">
      <w:pPr>
        <w:pStyle w:val="ListParagraph"/>
        <w:numPr>
          <w:ilvl w:val="0"/>
          <w:numId w:val="24"/>
        </w:numPr>
      </w:pPr>
      <w:r>
        <w:t xml:space="preserve">Evaluation and evidence generation regarding effective responses for remand and justice-involved populations. </w:t>
      </w:r>
    </w:p>
    <w:p w14:paraId="18934C63" w14:textId="10295D10" w:rsidR="00A15B20" w:rsidRDefault="00A15B20" w:rsidP="00374887">
      <w:r>
        <w:t>Conclusion</w:t>
      </w:r>
    </w:p>
    <w:p w14:paraId="69391961" w14:textId="1158D941" w:rsidR="00374887" w:rsidRDefault="00374887" w:rsidP="00374887">
      <w:r>
        <w:t xml:space="preserve">To achieve the National Plan’s vision of ending violence against women and children, Australia must continue to strengthen responses to people who use violence while maintaining an unwavering focus on victim-survivor safety. Custodial settings represent an important but under-recognised opportunity for earlier intervention with individuals who may otherwise cycle repeatedly through justice systems without accessing support or accountability-focused interventions. </w:t>
      </w:r>
      <w:r w:rsidR="005935F2">
        <w:t>Through comprehensive assessment, early identification of risk, treatment of underlying health needs, engagement with patients, referral to specialist services and continuity of care, health services can strengthen coordinated system responses while maint</w:t>
      </w:r>
      <w:r w:rsidR="006F1538">
        <w:t xml:space="preserve">aining an unwavering focus on victim-survivor safety. </w:t>
      </w:r>
      <w:r>
        <w:t xml:space="preserve">Recognising and addressing this gap would strengthen Australia’s </w:t>
      </w:r>
      <w:r>
        <w:lastRenderedPageBreak/>
        <w:t xml:space="preserve">capacity to reduce violence, prevent future harm and improve outcomes for victim-survivors, families and communities. </w:t>
      </w:r>
    </w:p>
    <w:p w14:paraId="5C3DE780" w14:textId="5F21E5E5" w:rsidR="006F1538" w:rsidRPr="0078257E" w:rsidRDefault="006F1538" w:rsidP="00374887">
      <w:r>
        <w:t xml:space="preserve">Effective identification and response depend on a workforce with consistent capability. The Second Action Plan should support nationally consistent education for health professionals working across custodial and community settings in recognising </w:t>
      </w:r>
      <w:r w:rsidR="00CB706C">
        <w:t>DFSV</w:t>
      </w:r>
      <w:r>
        <w:t xml:space="preserve">, assessing risk, responding safely to disclosures, understanding coercive control, and facilitating referral pathways. Consistent education strengthens the health system’s contribution to early intervention while supporting coordinated responses across justice, health and specialist services. </w:t>
      </w:r>
    </w:p>
    <w:p w14:paraId="1BF88E21" w14:textId="77777777" w:rsidR="007D14F1" w:rsidRDefault="007D14F1" w:rsidP="00B10E94">
      <w:pPr>
        <w:rPr>
          <w:b/>
          <w:bCs/>
        </w:rPr>
      </w:pPr>
    </w:p>
    <w:p w14:paraId="78E06BF1" w14:textId="55794301" w:rsidR="007D14F1" w:rsidRDefault="007D14F1">
      <w:pPr>
        <w:rPr>
          <w:b/>
          <w:bCs/>
        </w:rPr>
      </w:pPr>
      <w:r>
        <w:rPr>
          <w:b/>
          <w:bCs/>
        </w:rPr>
        <w:br w:type="page"/>
      </w:r>
    </w:p>
    <w:p w14:paraId="73532729" w14:textId="5499F1E3" w:rsidR="00B10E94" w:rsidRPr="00B10E94" w:rsidRDefault="00B10E94" w:rsidP="00B10E94">
      <w:pPr>
        <w:rPr>
          <w:b/>
          <w:bCs/>
        </w:rPr>
      </w:pPr>
      <w:r w:rsidRPr="00B10E94">
        <w:rPr>
          <w:b/>
          <w:bCs/>
        </w:rPr>
        <w:lastRenderedPageBreak/>
        <w:t>Priority Area 5: System Integration and Workforce</w:t>
      </w:r>
    </w:p>
    <w:p w14:paraId="58125364" w14:textId="77777777" w:rsidR="00B10E94" w:rsidRPr="00B532A7" w:rsidRDefault="00B10E94" w:rsidP="00B10E94">
      <w:pPr>
        <w:rPr>
          <w:b/>
          <w:bCs/>
        </w:rPr>
      </w:pPr>
      <w:r w:rsidRPr="00B532A7">
        <w:rPr>
          <w:b/>
          <w:bCs/>
        </w:rPr>
        <w:t>When providing your feedback on this area, you might like to consider:</w:t>
      </w:r>
    </w:p>
    <w:p w14:paraId="52161B23" w14:textId="77777777" w:rsidR="00B10E94" w:rsidRPr="00B532A7" w:rsidRDefault="00B10E94" w:rsidP="00B10E94">
      <w:pPr>
        <w:numPr>
          <w:ilvl w:val="0"/>
          <w:numId w:val="5"/>
        </w:numPr>
        <w:rPr>
          <w:b/>
          <w:bCs/>
        </w:rPr>
      </w:pPr>
      <w:r w:rsidRPr="00B532A7">
        <w:rPr>
          <w:b/>
          <w:bCs/>
        </w:rPr>
        <w:t>What would make the biggest difference in creating a more coordinated and connected system response for people affected by violence against women and children and other forms of gender-based violence and people using violence?</w:t>
      </w:r>
    </w:p>
    <w:p w14:paraId="351BF890" w14:textId="77777777" w:rsidR="00B10E94" w:rsidRPr="00B532A7" w:rsidRDefault="00B10E94" w:rsidP="00B10E94">
      <w:pPr>
        <w:numPr>
          <w:ilvl w:val="0"/>
          <w:numId w:val="5"/>
        </w:numPr>
        <w:rPr>
          <w:b/>
          <w:bCs/>
        </w:rPr>
      </w:pPr>
      <w:r w:rsidRPr="00B532A7">
        <w:rPr>
          <w:b/>
          <w:bCs/>
        </w:rPr>
        <w:t>What workforce capabilities, supports, or conditions are most needed to strengthen prevention, early intervention, response and recovery?</w:t>
      </w:r>
    </w:p>
    <w:p w14:paraId="0D1B86E7" w14:textId="77777777" w:rsidR="00B10E94" w:rsidRPr="00B532A7" w:rsidRDefault="00B10E94" w:rsidP="00B10E94">
      <w:pPr>
        <w:numPr>
          <w:ilvl w:val="0"/>
          <w:numId w:val="5"/>
        </w:numPr>
        <w:rPr>
          <w:b/>
          <w:bCs/>
        </w:rPr>
      </w:pPr>
      <w:r w:rsidRPr="00B532A7">
        <w:rPr>
          <w:b/>
          <w:bCs/>
        </w:rPr>
        <w:t>What approaches or models appear most effective in improving collaboration, coordination and information sharing across services, systems and programs?</w:t>
      </w:r>
    </w:p>
    <w:p w14:paraId="7413168B" w14:textId="77777777" w:rsidR="00B10E94" w:rsidRPr="00B532A7" w:rsidRDefault="00B10E94" w:rsidP="00B10E94">
      <w:pPr>
        <w:numPr>
          <w:ilvl w:val="0"/>
          <w:numId w:val="5"/>
        </w:numPr>
        <w:rPr>
          <w:b/>
          <w:bCs/>
        </w:rPr>
      </w:pPr>
      <w:r w:rsidRPr="00B532A7">
        <w:rPr>
          <w:b/>
          <w:bCs/>
        </w:rPr>
        <w:t>What supports do specialist and universal services need to provide inclusive, accessible and response services?</w:t>
      </w:r>
    </w:p>
    <w:p w14:paraId="1B54CF67" w14:textId="77777777" w:rsidR="00B10E94" w:rsidRPr="00B532A7" w:rsidRDefault="00B10E94" w:rsidP="00B10E94">
      <w:pPr>
        <w:rPr>
          <w:b/>
          <w:bCs/>
        </w:rPr>
      </w:pPr>
      <w:r w:rsidRPr="00B532A7">
        <w:rPr>
          <w:b/>
          <w:bCs/>
        </w:rPr>
        <w:t>What evidence, workforce or system gaps should the Second Action Plan prioritise to strengthen implementation and improve outcomes over time?</w:t>
      </w:r>
    </w:p>
    <w:p w14:paraId="3FEDE9C5" w14:textId="48C95570" w:rsidR="00482D92" w:rsidRDefault="00E23647">
      <w:r>
        <w:t xml:space="preserve">A significant barrier across </w:t>
      </w:r>
      <w:r w:rsidR="00366828">
        <w:t>DFSV systems is the inconsisten</w:t>
      </w:r>
      <w:r>
        <w:t>t</w:t>
      </w:r>
      <w:r w:rsidR="00366828">
        <w:t xml:space="preserve"> </w:t>
      </w:r>
      <w:r>
        <w:t>way</w:t>
      </w:r>
      <w:r w:rsidR="00366828">
        <w:t xml:space="preserve"> professionals understand, identify, assess and respond to violence. Different </w:t>
      </w:r>
      <w:r>
        <w:t>sectors often operate with varying</w:t>
      </w:r>
      <w:r w:rsidR="00366828">
        <w:t xml:space="preserve"> terminology, risk</w:t>
      </w:r>
      <w:r>
        <w:t xml:space="preserve"> assessment</w:t>
      </w:r>
      <w:r w:rsidR="00366828">
        <w:t xml:space="preserve"> frameworks and intervention approaches, </w:t>
      </w:r>
      <w:r>
        <w:t xml:space="preserve">contributing to </w:t>
      </w:r>
      <w:r w:rsidR="00366828">
        <w:t>fragmented</w:t>
      </w:r>
      <w:r>
        <w:t xml:space="preserve"> service</w:t>
      </w:r>
      <w:r w:rsidR="00366828">
        <w:t xml:space="preserve"> responses, missed opportunities for early intervention and inconsistent experiences for victim-survivors.</w:t>
      </w:r>
      <w:r w:rsidR="00A15B20">
        <w:t xml:space="preserve"> </w:t>
      </w:r>
      <w:r w:rsidR="00482D92">
        <w:t xml:space="preserve">Justice Health NSW supports the National Plan’s recognition that a coordinated, trauma-informed and culturally safe workforce is </w:t>
      </w:r>
      <w:r>
        <w:t>essential</w:t>
      </w:r>
      <w:r w:rsidR="00482D92">
        <w:t xml:space="preserve"> to preventing and responding to violence against women and children. The Second Action Plan presents an important opportunity to strengthen integration across health, justice, community and specialist sectors, particularly for </w:t>
      </w:r>
      <w:r>
        <w:t>people</w:t>
      </w:r>
      <w:r w:rsidR="00482D92">
        <w:t xml:space="preserve"> experienc</w:t>
      </w:r>
      <w:r>
        <w:t>ing</w:t>
      </w:r>
      <w:r w:rsidR="00482D92">
        <w:t xml:space="preserve"> multiple and intersecting forms of disadvantage. </w:t>
      </w:r>
    </w:p>
    <w:p w14:paraId="55CD5C71" w14:textId="0FFF1681" w:rsidR="00482D92" w:rsidRDefault="00482D92">
      <w:r>
        <w:t xml:space="preserve">People in contact with the criminal justice system have disproportionately high rates of childhood adversity, sexual violence, family and domestic violence, mental illness, substance use disorders and complex trauma. Many have experienced violence as victim-survivors, while some may also have used violence themselves. These </w:t>
      </w:r>
      <w:r w:rsidR="004B3BE5">
        <w:t xml:space="preserve">overlapping </w:t>
      </w:r>
      <w:r>
        <w:t>experiences do not occur in isolation and require integrated responses that recognise the relationship between trauma, health, wellbeing</w:t>
      </w:r>
      <w:r w:rsidR="004B3BE5">
        <w:t>,</w:t>
      </w:r>
      <w:r>
        <w:t xml:space="preserve"> safety</w:t>
      </w:r>
      <w:r w:rsidR="004B3BE5">
        <w:t xml:space="preserve"> and behaviour</w:t>
      </w:r>
      <w:r>
        <w:t xml:space="preserve">. </w:t>
      </w:r>
    </w:p>
    <w:p w14:paraId="73B74543" w14:textId="3FBF637F" w:rsidR="00D8789B" w:rsidRDefault="00D8789B">
      <w:r>
        <w:t>Custodial health services have a unique system-wide perspective because they provide healthcare to people across policy watch houses, courts, correctional centres and community forensic settings. This provides valuable insight into patterns of victimisation, trauma, coercive control, health inequities, pathways into custody and barriers to recovery that are not routinely visible within community services alone. These observations should inform national policy development and evaluation.</w:t>
      </w:r>
    </w:p>
    <w:p w14:paraId="7D6FC230" w14:textId="0FA1206B" w:rsidR="00482D92" w:rsidRDefault="004B3BE5">
      <w:r>
        <w:lastRenderedPageBreak/>
        <w:t>Although there is increasing commitment to trauma-informed and person-centred care across health and justice systems, significant gaps remain in workforce capability, service integ</w:t>
      </w:r>
      <w:r w:rsidR="00482D92">
        <w:t>ration and continuity of care</w:t>
      </w:r>
      <w:r>
        <w:t xml:space="preserve">. These gaps are particularly evident in </w:t>
      </w:r>
      <w:r w:rsidR="00482D92">
        <w:t>custodial settings where opportunities for early identification,</w:t>
      </w:r>
      <w:r>
        <w:t xml:space="preserve"> intervention,</w:t>
      </w:r>
      <w:r w:rsidR="00482D92">
        <w:t xml:space="preserve"> and therapeutic engagement are </w:t>
      </w:r>
      <w:r>
        <w:t>substantial but often underutilised</w:t>
      </w:r>
      <w:r w:rsidR="00482D92">
        <w:t xml:space="preserve">. </w:t>
      </w:r>
    </w:p>
    <w:p w14:paraId="2A5C2B20" w14:textId="726D00C6" w:rsidR="00482D92" w:rsidRPr="002C6F02" w:rsidRDefault="00482D92">
      <w:pPr>
        <w:rPr>
          <w:i/>
          <w:iCs/>
        </w:rPr>
      </w:pPr>
      <w:r w:rsidRPr="002C6F02">
        <w:rPr>
          <w:i/>
          <w:iCs/>
        </w:rPr>
        <w:t xml:space="preserve">Recommendation 1: </w:t>
      </w:r>
      <w:r w:rsidR="00DF4BB7">
        <w:rPr>
          <w:i/>
          <w:iCs/>
        </w:rPr>
        <w:t>Strengthen workforce capability through nationally consistent education.</w:t>
      </w:r>
    </w:p>
    <w:p w14:paraId="4C0ED912" w14:textId="63D55E24" w:rsidR="00B92B5E" w:rsidRDefault="00DF4BB7" w:rsidP="00B92B5E">
      <w:r>
        <w:t>A confident, capable, trauma-informed workforce is fundamental to improving responses to DFSV. While education initiatives exist across jurisdiction</w:t>
      </w:r>
      <w:r w:rsidR="006C1C71">
        <w:t>s</w:t>
      </w:r>
      <w:r>
        <w:t>, there remains considerable variation in knowledge, confidence and clinical practice</w:t>
      </w:r>
      <w:r w:rsidR="00B92B5E">
        <w:t>.</w:t>
      </w:r>
      <w:r>
        <w:t xml:space="preserve"> Nationally consistent capability standards would support a more coordinated and equitable response across health settings. </w:t>
      </w:r>
      <w:r w:rsidR="00B92B5E">
        <w:t xml:space="preserve"> </w:t>
      </w:r>
    </w:p>
    <w:p w14:paraId="0B38A05D" w14:textId="31E55962" w:rsidR="00DF4BB7" w:rsidRDefault="00DF4BB7">
      <w:r>
        <w:t>The Second Action Plan should prioritise:</w:t>
      </w:r>
    </w:p>
    <w:p w14:paraId="6F621C0F" w14:textId="72894A1C" w:rsidR="00DF4BB7" w:rsidRDefault="00DF4BB7" w:rsidP="001D1AC2">
      <w:pPr>
        <w:pStyle w:val="ListParagraph"/>
        <w:numPr>
          <w:ilvl w:val="0"/>
          <w:numId w:val="32"/>
        </w:numPr>
      </w:pPr>
      <w:r>
        <w:t>Development of nationally consistent DFSV capability standards for health professionals.</w:t>
      </w:r>
    </w:p>
    <w:p w14:paraId="08CA545D" w14:textId="77777777" w:rsidR="00DF4BB7" w:rsidRDefault="00DF4BB7" w:rsidP="001D1AC2">
      <w:pPr>
        <w:pStyle w:val="ListParagraph"/>
        <w:numPr>
          <w:ilvl w:val="0"/>
          <w:numId w:val="32"/>
        </w:numPr>
      </w:pPr>
      <w:r>
        <w:t xml:space="preserve">Integration of DFSV education within </w:t>
      </w:r>
      <w:r w:rsidR="002C6F02">
        <w:t xml:space="preserve">undergraduate education, postgraduate training, professional accreditation and continuing professional development. </w:t>
      </w:r>
      <w:r w:rsidR="00603A79">
        <w:t>Such competencies can be embedded across nursing, medical, allied health and psychology curricula.</w:t>
      </w:r>
    </w:p>
    <w:p w14:paraId="171E737D" w14:textId="77777777" w:rsidR="00DF4BB7" w:rsidRDefault="00DF4BB7" w:rsidP="001D1AC2">
      <w:pPr>
        <w:pStyle w:val="ListParagraph"/>
        <w:numPr>
          <w:ilvl w:val="0"/>
          <w:numId w:val="32"/>
        </w:numPr>
      </w:pPr>
      <w:r>
        <w:t>Education in trauma-informed care, coercive control, safe enquiry, risk assessment, culturally safe practice, responding to disclosures, documentation, referral pathways and continuity of care.</w:t>
      </w:r>
    </w:p>
    <w:p w14:paraId="59B18CCD" w14:textId="724A6385" w:rsidR="00482D92" w:rsidRDefault="00DF4BB7" w:rsidP="001D1AC2">
      <w:pPr>
        <w:pStyle w:val="ListParagraph"/>
        <w:numPr>
          <w:ilvl w:val="0"/>
          <w:numId w:val="32"/>
        </w:numPr>
      </w:pPr>
      <w:r>
        <w:t xml:space="preserve">Workforce development that reflects the specific needs of custodial health settings and other services supporting people with complex trauma, justice involvement and multiple intersecting vulnerabilities. </w:t>
      </w:r>
      <w:r w:rsidR="00603A79">
        <w:t xml:space="preserve"> </w:t>
      </w:r>
    </w:p>
    <w:p w14:paraId="2413C44C" w14:textId="77B065FB" w:rsidR="001D1AC2" w:rsidRDefault="002C6F02">
      <w:pPr>
        <w:rPr>
          <w:i/>
          <w:iCs/>
        </w:rPr>
      </w:pPr>
      <w:r>
        <w:rPr>
          <w:i/>
          <w:iCs/>
        </w:rPr>
        <w:t xml:space="preserve">Recommendation 2: </w:t>
      </w:r>
      <w:r w:rsidR="001D1AC2">
        <w:rPr>
          <w:i/>
          <w:iCs/>
        </w:rPr>
        <w:t xml:space="preserve">Strengthen clinical governance and quality improvement </w:t>
      </w:r>
    </w:p>
    <w:p w14:paraId="100DB002" w14:textId="123B19CC" w:rsidR="001D1AC2" w:rsidRDefault="001D1AC2">
      <w:r>
        <w:t xml:space="preserve">Consistent, high-quality responses require strong clinical governance supported by evidence-informed practice standards. National guidance would reduce unwarranted variation in practice while supporting clinicians to respond safely and consistently across healthcare settings. </w:t>
      </w:r>
    </w:p>
    <w:p w14:paraId="7EE69ECF" w14:textId="6D2C2379" w:rsidR="001D1AC2" w:rsidRDefault="001D1AC2">
      <w:r>
        <w:t>The Second Action Plan should prioritise:</w:t>
      </w:r>
    </w:p>
    <w:p w14:paraId="08E31002" w14:textId="327962DA" w:rsidR="001D1AC2" w:rsidRDefault="001D1AC2" w:rsidP="001D1AC2">
      <w:pPr>
        <w:pStyle w:val="ListParagraph"/>
        <w:numPr>
          <w:ilvl w:val="0"/>
          <w:numId w:val="26"/>
        </w:numPr>
      </w:pPr>
      <w:r>
        <w:t>National clinical practice standards for identifying, assessing and responding to DFSV across healthcare settings, including custodial health services.</w:t>
      </w:r>
    </w:p>
    <w:p w14:paraId="19146CE9" w14:textId="1E706B98" w:rsidR="001D1AC2" w:rsidRDefault="001D1AC2" w:rsidP="001D1AC2">
      <w:pPr>
        <w:pStyle w:val="ListParagraph"/>
        <w:numPr>
          <w:ilvl w:val="0"/>
          <w:numId w:val="26"/>
        </w:numPr>
      </w:pPr>
      <w:r>
        <w:t>Evidence-informed clinical guidelines that support trauma-informed, culturally safe and person-centred care.</w:t>
      </w:r>
    </w:p>
    <w:p w14:paraId="380F5FE4" w14:textId="0B898045" w:rsidR="001D1AC2" w:rsidRDefault="001D1AC2" w:rsidP="001D1AC2">
      <w:pPr>
        <w:pStyle w:val="ListParagraph"/>
        <w:numPr>
          <w:ilvl w:val="0"/>
          <w:numId w:val="26"/>
        </w:numPr>
      </w:pPr>
      <w:r>
        <w:t>Clinical governance frameworks incorporating supervision, reflective practice, audit</w:t>
      </w:r>
      <w:r w:rsidR="006C1C71">
        <w:t>s</w:t>
      </w:r>
      <w:r>
        <w:t>, quality improvement and continuous learning.</w:t>
      </w:r>
    </w:p>
    <w:p w14:paraId="7DD0385E" w14:textId="77EB59D4" w:rsidR="001D1AC2" w:rsidRPr="001D1AC2" w:rsidRDefault="001D1AC2" w:rsidP="001D1AC2">
      <w:pPr>
        <w:pStyle w:val="ListParagraph"/>
        <w:numPr>
          <w:ilvl w:val="0"/>
          <w:numId w:val="26"/>
        </w:numPr>
      </w:pPr>
      <w:r>
        <w:lastRenderedPageBreak/>
        <w:t xml:space="preserve">Mechanisms to evaluate implementation fidelity and support ongoing service improvement. </w:t>
      </w:r>
    </w:p>
    <w:p w14:paraId="16E0074F" w14:textId="3A2E9E87" w:rsidR="00B532A7" w:rsidRPr="00F16E01" w:rsidRDefault="001D1AC2">
      <w:pPr>
        <w:rPr>
          <w:i/>
          <w:iCs/>
        </w:rPr>
      </w:pPr>
      <w:r>
        <w:rPr>
          <w:i/>
          <w:iCs/>
        </w:rPr>
        <w:t xml:space="preserve">Recommendation 3: </w:t>
      </w:r>
      <w:r w:rsidR="00E11A47">
        <w:rPr>
          <w:i/>
          <w:iCs/>
        </w:rPr>
        <w:t>Strengthen</w:t>
      </w:r>
      <w:r w:rsidR="002C6F02">
        <w:rPr>
          <w:i/>
          <w:iCs/>
        </w:rPr>
        <w:t xml:space="preserve"> </w:t>
      </w:r>
      <w:r w:rsidR="00C62756">
        <w:rPr>
          <w:i/>
          <w:iCs/>
        </w:rPr>
        <w:t>i</w:t>
      </w:r>
      <w:r w:rsidR="00C62756" w:rsidRPr="00F16E01">
        <w:rPr>
          <w:i/>
          <w:iCs/>
        </w:rPr>
        <w:t>ntegrat</w:t>
      </w:r>
      <w:r w:rsidR="004D22E4">
        <w:rPr>
          <w:i/>
          <w:iCs/>
        </w:rPr>
        <w:t>ed</w:t>
      </w:r>
      <w:r w:rsidR="002C6F02">
        <w:rPr>
          <w:i/>
          <w:iCs/>
        </w:rPr>
        <w:t xml:space="preserve"> care </w:t>
      </w:r>
      <w:r w:rsidR="004D22E4">
        <w:rPr>
          <w:i/>
          <w:iCs/>
        </w:rPr>
        <w:t>and continuity of care</w:t>
      </w:r>
      <w:r w:rsidR="00C62756">
        <w:rPr>
          <w:i/>
          <w:iCs/>
        </w:rPr>
        <w:t>.</w:t>
      </w:r>
    </w:p>
    <w:p w14:paraId="3D25489B" w14:textId="4DB80F3E" w:rsidR="00C62756" w:rsidRDefault="00C62756">
      <w:r>
        <w:t xml:space="preserve">Despite growing recognition of the need for </w:t>
      </w:r>
      <w:r w:rsidR="00B532A7">
        <w:t>coordinated responses</w:t>
      </w:r>
      <w:r>
        <w:t>, health, justice and specialist DFSV services continue to operate largely in silos. This result</w:t>
      </w:r>
      <w:r w:rsidR="00345219">
        <w:t>s</w:t>
      </w:r>
      <w:r>
        <w:t xml:space="preserve"> in fragmented care, inconsistent risk management and poor continuity of support, particularly for individuals moving between custody and community settings</w:t>
      </w:r>
      <w:r w:rsidR="00B532A7">
        <w:t>.</w:t>
      </w:r>
    </w:p>
    <w:p w14:paraId="5E8CD45D" w14:textId="77777777" w:rsidR="00C62756" w:rsidRDefault="00C62756">
      <w:r>
        <w:t xml:space="preserve">The Second Action Plan should support the development of formal cross-sector care pathways linking custodial health services, specialist DFSV services, mental health services, alcohol and other drug services, community health providers and social supports. </w:t>
      </w:r>
    </w:p>
    <w:p w14:paraId="177103B8" w14:textId="0295FE03" w:rsidR="00B532A7" w:rsidRDefault="00C62756">
      <w:r>
        <w:t>Priority actions</w:t>
      </w:r>
      <w:r w:rsidR="00B532A7">
        <w:t xml:space="preserve"> </w:t>
      </w:r>
      <w:r>
        <w:t>include</w:t>
      </w:r>
      <w:r w:rsidR="00B532A7">
        <w:t>:</w:t>
      </w:r>
    </w:p>
    <w:p w14:paraId="24F973A8" w14:textId="60ECB65E" w:rsidR="004D22E4" w:rsidRDefault="004D22E4" w:rsidP="004D22E4">
      <w:pPr>
        <w:pStyle w:val="ListParagraph"/>
        <w:numPr>
          <w:ilvl w:val="0"/>
          <w:numId w:val="14"/>
        </w:numPr>
      </w:pPr>
      <w:r>
        <w:t>Strengthening referral pathways and shared care arra</w:t>
      </w:r>
      <w:r w:rsidR="002B7EB0">
        <w:t>ngements between custodial and</w:t>
      </w:r>
      <w:r>
        <w:t xml:space="preserve"> community</w:t>
      </w:r>
      <w:r w:rsidR="002B7EB0">
        <w:t xml:space="preserve"> health providers, specialist DFSV services and Aboriginal Community Controlled Health Organisations.</w:t>
      </w:r>
    </w:p>
    <w:p w14:paraId="2BCDABBF" w14:textId="06726FB0" w:rsidR="002B7EB0" w:rsidRDefault="002B7EB0" w:rsidP="002B7EB0">
      <w:pPr>
        <w:pStyle w:val="ListParagraph"/>
        <w:numPr>
          <w:ilvl w:val="0"/>
          <w:numId w:val="14"/>
        </w:numPr>
      </w:pPr>
      <w:r>
        <w:t>Improving multidisciplinary care coordination for individuals with complex needs and overlapping experiences of victimisation and offending</w:t>
      </w:r>
      <w:r w:rsidR="00163906">
        <w:t xml:space="preserve"> across health, justice and community sectors</w:t>
      </w:r>
      <w:r>
        <w:t>.</w:t>
      </w:r>
    </w:p>
    <w:p w14:paraId="1F859DDC" w14:textId="4B96A9F6" w:rsidR="00163906" w:rsidRDefault="00163906" w:rsidP="00163906">
      <w:pPr>
        <w:pStyle w:val="ListParagraph"/>
        <w:numPr>
          <w:ilvl w:val="0"/>
          <w:numId w:val="14"/>
        </w:numPr>
      </w:pPr>
      <w:r>
        <w:t>Establishing continuity of care as a national key performance indicator for integrated DFSV responses, including measures of referral completion, engagement with community services following release, continuity of treatment and sustained access to healthcare and psychosocial support.</w:t>
      </w:r>
    </w:p>
    <w:p w14:paraId="501DDECE" w14:textId="10AA48C5" w:rsidR="004D22E4" w:rsidRDefault="00163906" w:rsidP="00DB6C25">
      <w:pPr>
        <w:pStyle w:val="ListParagraph"/>
        <w:numPr>
          <w:ilvl w:val="0"/>
          <w:numId w:val="14"/>
        </w:numPr>
      </w:pPr>
      <w:r>
        <w:t xml:space="preserve">Supporting information sharing that enhances safety, continuity and coordinated care while protecting privacy and maintaining victim-survivor confidentiality. </w:t>
      </w:r>
    </w:p>
    <w:p w14:paraId="7A8ED544" w14:textId="77777777" w:rsidR="00163906" w:rsidRDefault="00163906" w:rsidP="00163906">
      <w:pPr>
        <w:pStyle w:val="ListParagraph"/>
        <w:numPr>
          <w:ilvl w:val="0"/>
          <w:numId w:val="14"/>
        </w:numPr>
      </w:pPr>
      <w:r>
        <w:t>Multi-agency case coordination mechanisms for high-risk individuals and families (that does not assume risk is reduced when a perpetrator is in custody).</w:t>
      </w:r>
    </w:p>
    <w:p w14:paraId="4E6E5A66" w14:textId="77777777" w:rsidR="00163906" w:rsidRDefault="00163906" w:rsidP="00163906">
      <w:pPr>
        <w:pStyle w:val="ListParagraph"/>
      </w:pPr>
    </w:p>
    <w:p w14:paraId="44BDFD43" w14:textId="77777777" w:rsidR="00163906" w:rsidRDefault="00163906">
      <w:pPr>
        <w:rPr>
          <w:i/>
          <w:iCs/>
        </w:rPr>
      </w:pPr>
    </w:p>
    <w:p w14:paraId="42BD0911" w14:textId="01A5CCEC" w:rsidR="0064183A" w:rsidRDefault="00F570D3" w:rsidP="0064183A">
      <w:pPr>
        <w:rPr>
          <w:i/>
          <w:iCs/>
        </w:rPr>
      </w:pPr>
      <w:r>
        <w:rPr>
          <w:i/>
          <w:iCs/>
        </w:rPr>
        <w:t xml:space="preserve">Recommendation 4: </w:t>
      </w:r>
      <w:r w:rsidR="00163906">
        <w:rPr>
          <w:i/>
          <w:iCs/>
        </w:rPr>
        <w:t>Build the national evidence base and strengthen implementation</w:t>
      </w:r>
    </w:p>
    <w:p w14:paraId="035633C1" w14:textId="33F1FE5B" w:rsidR="00163906" w:rsidRDefault="00163906" w:rsidP="0064183A">
      <w:r>
        <w:t xml:space="preserve">Although DFSV is increasingly recognised as a health issue, significant evidence gaps remain regarding the effectiveness of healthcare responses, particularly within custodial settings and for people experiencing complex and intersecting vulnerabilities. Addressing these gaps will require a stronger focus on implementation science, evaluation and nationally consistent data collection. </w:t>
      </w:r>
    </w:p>
    <w:p w14:paraId="5BC843AA" w14:textId="3E3600EE" w:rsidR="00F570D3" w:rsidRDefault="00E07561" w:rsidP="0064183A">
      <w:r>
        <w:t xml:space="preserve">Justice Health services have an important contribution to make as partners in evidence generation. Clinical observations from custodial health settings provide valuable insight </w:t>
      </w:r>
      <w:r>
        <w:lastRenderedPageBreak/>
        <w:t xml:space="preserve">into pathways into custody, the misidentification and criminalisation of victim-survivors, cumulative trauma, health inequities, barriers to disclosure and opportunities for early intervention. Incorporating this knowledge into national policy development and evaluation would strengthen understanding of populations that are frequently underrepresented in mainstream DFSV research. </w:t>
      </w:r>
    </w:p>
    <w:p w14:paraId="35CADE0B" w14:textId="1002C9C8" w:rsidR="0064183A" w:rsidRDefault="0064183A" w:rsidP="0064183A">
      <w:r>
        <w:t>The Second Action Plan should prioritise:</w:t>
      </w:r>
    </w:p>
    <w:p w14:paraId="728D46D8" w14:textId="27FB6638" w:rsidR="00DB6C25" w:rsidRDefault="00E07561" w:rsidP="00E07561">
      <w:pPr>
        <w:pStyle w:val="ListParagraph"/>
        <w:numPr>
          <w:ilvl w:val="0"/>
          <w:numId w:val="29"/>
        </w:numPr>
      </w:pPr>
      <w:r>
        <w:t>Investment</w:t>
      </w:r>
      <w:r w:rsidR="00B74324">
        <w:t xml:space="preserve"> </w:t>
      </w:r>
      <w:r>
        <w:t>in implementation research evaluating trauma-informed healthcare models across custodial and community settings.</w:t>
      </w:r>
    </w:p>
    <w:p w14:paraId="2D04AE8C" w14:textId="5A576533" w:rsidR="00E07561" w:rsidRDefault="00E07561" w:rsidP="00E07561">
      <w:pPr>
        <w:pStyle w:val="ListParagraph"/>
        <w:numPr>
          <w:ilvl w:val="0"/>
          <w:numId w:val="29"/>
        </w:numPr>
      </w:pPr>
      <w:r>
        <w:t>Development of nationally consistent datasets and outcome measures that capture health outcomes, service engagement, referral pathways, and continuity of care and recovery.</w:t>
      </w:r>
    </w:p>
    <w:p w14:paraId="4CF1297D" w14:textId="19E3DD09" w:rsidR="00E07561" w:rsidRDefault="00E07561" w:rsidP="00E07561">
      <w:pPr>
        <w:pStyle w:val="ListParagraph"/>
        <w:numPr>
          <w:ilvl w:val="0"/>
          <w:numId w:val="29"/>
        </w:numPr>
      </w:pPr>
      <w:r>
        <w:t xml:space="preserve">Evaluation of integrated models of care to identify effective approaches for people experiencing complex trauma and multiple intersecting vulnerabilities. </w:t>
      </w:r>
    </w:p>
    <w:p w14:paraId="78D212E3" w14:textId="4BB9A155" w:rsidR="00E07561" w:rsidRDefault="00E07561" w:rsidP="00E07561">
      <w:pPr>
        <w:pStyle w:val="ListParagraph"/>
        <w:numPr>
          <w:ilvl w:val="0"/>
          <w:numId w:val="29"/>
        </w:numPr>
      </w:pPr>
      <w:r>
        <w:t xml:space="preserve">Mechanisms for incorporating evidence generated within custodial health services into national policy development, implementation and evaluation. </w:t>
      </w:r>
    </w:p>
    <w:p w14:paraId="478339EA" w14:textId="77777777" w:rsidR="007D14F1" w:rsidRDefault="007D14F1" w:rsidP="007D14F1">
      <w:pPr>
        <w:rPr>
          <w:i/>
          <w:iCs/>
        </w:rPr>
      </w:pPr>
      <w:r w:rsidRPr="0064183A">
        <w:rPr>
          <w:i/>
          <w:iCs/>
        </w:rPr>
        <w:t>Supporting Inclusive and Accessible Services</w:t>
      </w:r>
    </w:p>
    <w:p w14:paraId="1051943C" w14:textId="77777777" w:rsidR="007D14F1" w:rsidRDefault="007D14F1" w:rsidP="007D14F1">
      <w:r>
        <w:t xml:space="preserve">Specialist and universal services require additional support to ensure responses are accessible, equitable and effective for people with complex needs. </w:t>
      </w:r>
    </w:p>
    <w:p w14:paraId="24B08D8D" w14:textId="77777777" w:rsidR="007D14F1" w:rsidRDefault="007D14F1" w:rsidP="007D14F1">
      <w:r>
        <w:t>Services should be:</w:t>
      </w:r>
    </w:p>
    <w:p w14:paraId="24332634" w14:textId="77777777" w:rsidR="007D14F1" w:rsidRDefault="007D14F1" w:rsidP="007D14F1">
      <w:pPr>
        <w:pStyle w:val="ListParagraph"/>
        <w:numPr>
          <w:ilvl w:val="0"/>
          <w:numId w:val="30"/>
        </w:numPr>
      </w:pPr>
      <w:r>
        <w:t xml:space="preserve">Culturally safe and Aboriginal-led, particularly given the overrepresentation of Aboriginal people in custody. </w:t>
      </w:r>
    </w:p>
    <w:p w14:paraId="594D5369" w14:textId="77777777" w:rsidR="007D14F1" w:rsidRDefault="007D14F1" w:rsidP="007D14F1">
      <w:pPr>
        <w:pStyle w:val="ListParagraph"/>
        <w:numPr>
          <w:ilvl w:val="0"/>
          <w:numId w:val="30"/>
        </w:numPr>
      </w:pPr>
      <w:r>
        <w:t>Gender-responsive and responsive to the distinct experiences of women and girls.</w:t>
      </w:r>
    </w:p>
    <w:p w14:paraId="0685B7AB" w14:textId="77777777" w:rsidR="007D14F1" w:rsidRDefault="007D14F1" w:rsidP="007D14F1">
      <w:pPr>
        <w:pStyle w:val="ListParagraph"/>
        <w:numPr>
          <w:ilvl w:val="0"/>
          <w:numId w:val="30"/>
        </w:numPr>
      </w:pPr>
      <w:r>
        <w:t xml:space="preserve">Adapted for diverse populations, including people with cognitive impairment, mental illness, substance use disorders and other complex needs. </w:t>
      </w:r>
    </w:p>
    <w:p w14:paraId="52E3CA66" w14:textId="77777777" w:rsidR="007D14F1" w:rsidRPr="005214A0" w:rsidRDefault="007D14F1" w:rsidP="007D14F1">
      <w:pPr>
        <w:pStyle w:val="ListParagraph"/>
        <w:numPr>
          <w:ilvl w:val="0"/>
          <w:numId w:val="30"/>
        </w:numPr>
      </w:pPr>
      <w:r>
        <w:t xml:space="preserve">Inclusive of people with justice involvement, who are frequently excluded from mainstream service responses. </w:t>
      </w:r>
    </w:p>
    <w:p w14:paraId="5DE17C32" w14:textId="77777777" w:rsidR="00E07561" w:rsidRDefault="00E07561" w:rsidP="00DB6C25"/>
    <w:p w14:paraId="2DF3F40A" w14:textId="75ACCA92" w:rsidR="00E07561" w:rsidRDefault="00E07561" w:rsidP="00DB6C25">
      <w:r>
        <w:t>Conclusion</w:t>
      </w:r>
    </w:p>
    <w:p w14:paraId="4466A2AB" w14:textId="6F2DACE5" w:rsidR="0064183A" w:rsidRDefault="00E07561" w:rsidP="00DB6C25">
      <w:r>
        <w:t>Building a health system capable of responding effectively to DFSV requires investment in workforce capability, clinical governance, integrated care and evidence generation. These elements are mutually reinforcing and essential to delivering safe, consistent and equitable healthcare responses.</w:t>
      </w:r>
      <w:r w:rsidR="00B74324">
        <w:t xml:space="preserve"> </w:t>
      </w:r>
      <w:r>
        <w:t>Justice Health</w:t>
      </w:r>
      <w:r w:rsidR="0064183A">
        <w:t xml:space="preserve"> </w:t>
      </w:r>
      <w:r w:rsidR="006177BB">
        <w:t>service</w:t>
      </w:r>
      <w:r w:rsidR="0064183A">
        <w:t>s</w:t>
      </w:r>
      <w:r>
        <w:t xml:space="preserve"> have a distinctive contribution to make through the delivery of trauma-informed healthcare, the coordination of care for people experience signi</w:t>
      </w:r>
      <w:r w:rsidR="00245632">
        <w:t xml:space="preserve">ficant health inequities, and the generation of clinical evidence that can strengthen national policy. Recognising custodial health services as </w:t>
      </w:r>
      <w:r w:rsidR="00245632">
        <w:lastRenderedPageBreak/>
        <w:t xml:space="preserve">both healthcare providers and knowledge partners would improve implementation of the Second Action Plan, strengthen health system capability and support more </w:t>
      </w:r>
      <w:r w:rsidR="00DB6C25">
        <w:t>coordinated</w:t>
      </w:r>
      <w:r w:rsidR="00245632">
        <w:t>, evidence-informed responses for people affected by DFSV.</w:t>
      </w:r>
    </w:p>
    <w:p w14:paraId="1412CE29" w14:textId="77777777" w:rsidR="00B10E94" w:rsidRPr="00A6056E" w:rsidRDefault="00B10E94" w:rsidP="00B10E94">
      <w:pPr>
        <w:rPr>
          <w:b/>
          <w:bCs/>
        </w:rPr>
      </w:pPr>
      <w:r w:rsidRPr="00A6056E">
        <w:rPr>
          <w:b/>
          <w:bCs/>
        </w:rPr>
        <w:t>Other areas of action</w:t>
      </w:r>
    </w:p>
    <w:p w14:paraId="307BB770" w14:textId="77777777" w:rsidR="00B10E94" w:rsidRDefault="00B10E94" w:rsidP="00B10E94">
      <w:pPr>
        <w:rPr>
          <w:b/>
          <w:bCs/>
        </w:rPr>
      </w:pPr>
      <w:r w:rsidRPr="00A6056E">
        <w:rPr>
          <w:b/>
          <w:bCs/>
        </w:rPr>
        <w:t>Are there any other actions you think should be a priority to stop family, domestic and sexual violence?</w:t>
      </w:r>
    </w:p>
    <w:p w14:paraId="420F3AD0" w14:textId="36055032" w:rsidR="00B30773" w:rsidRPr="00B30773" w:rsidRDefault="00B30773" w:rsidP="001D1AC2">
      <w:pPr>
        <w:numPr>
          <w:ilvl w:val="0"/>
          <w:numId w:val="27"/>
        </w:numPr>
      </w:pPr>
      <w:r w:rsidRPr="00B30773">
        <w:rPr>
          <w:i/>
          <w:iCs/>
        </w:rPr>
        <w:t>Strengthen system responses for people experiencing intersecting vulnerabilities</w:t>
      </w:r>
      <w:r>
        <w:t>.</w:t>
      </w:r>
    </w:p>
    <w:p w14:paraId="5D500857" w14:textId="43C22DA2" w:rsidR="00B30773" w:rsidRDefault="00B30773" w:rsidP="00B30773">
      <w:r w:rsidRPr="00B30773">
        <w:t>The Second Action Plan should prioritise reforms that improve responses for people who experience multiple and overlapping forms of disadvantage, including Aboriginal and Torres Strait Islander peoples, people with justice involvement, people</w:t>
      </w:r>
      <w:r w:rsidR="006E4E53">
        <w:t xml:space="preserve"> living</w:t>
      </w:r>
      <w:r w:rsidRPr="00B30773">
        <w:t xml:space="preserve"> with cognitive impairment, mental illness or substance use disorders, and those who have experienced both victimisation and use of violence.</w:t>
      </w:r>
      <w:r w:rsidR="006E4E53">
        <w:t xml:space="preserve"> Achieving more effective responses requires greater recognition of the experiences of people who enter custody, many of whom have extensive histories of DFSV, trauma, social disadvantage and unmet health needs. </w:t>
      </w:r>
    </w:p>
    <w:p w14:paraId="78503916" w14:textId="18B6A0B3" w:rsidR="006E4E53" w:rsidRPr="00B30773" w:rsidRDefault="006E4E53" w:rsidP="00B30773">
      <w:r>
        <w:t xml:space="preserve">Custodial health services have a unique contribution to make to national policy by providing insights into the pathways that lead victim-survivors into contact with the criminal justice system. Clinical observations within women’s correctional settings demonstrate that imprisonment may occur in the context of coercive control, cumulative trauma, survival responses, </w:t>
      </w:r>
      <w:r w:rsidR="007D14F1">
        <w:t>financial abuse</w:t>
      </w:r>
      <w:r>
        <w:t xml:space="preserve">, health inequities and justice involvement, informing more effective prevention, early intervention and system reform.  </w:t>
      </w:r>
    </w:p>
    <w:p w14:paraId="625CD615" w14:textId="77777777" w:rsidR="00B30773" w:rsidRPr="00B30773" w:rsidRDefault="00B30773" w:rsidP="00B30773">
      <w:r w:rsidRPr="00B30773">
        <w:t>Priority actions include:</w:t>
      </w:r>
    </w:p>
    <w:p w14:paraId="143F50D7" w14:textId="356CC08E" w:rsidR="00B30773" w:rsidRDefault="00B30773" w:rsidP="001D1AC2">
      <w:pPr>
        <w:pStyle w:val="ListParagraph"/>
        <w:numPr>
          <w:ilvl w:val="0"/>
          <w:numId w:val="31"/>
        </w:numPr>
      </w:pPr>
      <w:r w:rsidRPr="00B30773">
        <w:t>Strengthening safeguards to reduce the misidentification and criminalisation of victim-survivors, particularly Aboriginal and Torres Strait Islander women</w:t>
      </w:r>
      <w:r w:rsidR="00B31608">
        <w:t>, through improved assessment of coercive control, context, self-defensive actions and predominant aggressor identification</w:t>
      </w:r>
      <w:r w:rsidRPr="00B30773">
        <w:t>.</w:t>
      </w:r>
    </w:p>
    <w:p w14:paraId="02C58D32" w14:textId="553E7661" w:rsidR="00B31608" w:rsidRDefault="00B31608" w:rsidP="001D1AC2">
      <w:pPr>
        <w:pStyle w:val="ListParagraph"/>
        <w:numPr>
          <w:ilvl w:val="0"/>
          <w:numId w:val="31"/>
        </w:numPr>
      </w:pPr>
      <w:r>
        <w:t xml:space="preserve">Recognising custodial health services as an important source of evidence to inform national policy on the pathways through which victim-survivors become justice involved, particularly women with complex trauma and intersecting health and social needs. </w:t>
      </w:r>
    </w:p>
    <w:p w14:paraId="732231AB" w14:textId="2823DC42" w:rsidR="00B30773" w:rsidRDefault="00B30773" w:rsidP="001D1AC2">
      <w:pPr>
        <w:pStyle w:val="ListParagraph"/>
        <w:numPr>
          <w:ilvl w:val="0"/>
          <w:numId w:val="31"/>
        </w:numPr>
      </w:pPr>
      <w:r w:rsidRPr="00B30773">
        <w:t>Embedding trauma-informed and culturally safe assessment frameworks across policing, courts, corrections, health and community services.</w:t>
      </w:r>
    </w:p>
    <w:p w14:paraId="77B4EDD0" w14:textId="459AB8BA" w:rsidR="00B30773" w:rsidRDefault="00B30773" w:rsidP="001D1AC2">
      <w:pPr>
        <w:pStyle w:val="ListParagraph"/>
        <w:numPr>
          <w:ilvl w:val="0"/>
          <w:numId w:val="31"/>
        </w:numPr>
      </w:pPr>
      <w:r w:rsidRPr="00B30773">
        <w:t>Improving coordination between legal, health and social service systems to</w:t>
      </w:r>
      <w:r w:rsidR="00B31608">
        <w:t xml:space="preserve"> strengthen </w:t>
      </w:r>
      <w:r w:rsidRPr="00B30773">
        <w:t>identif</w:t>
      </w:r>
      <w:r w:rsidR="00B31608">
        <w:t xml:space="preserve">ication of </w:t>
      </w:r>
      <w:r w:rsidRPr="00B30773">
        <w:t>coerci</w:t>
      </w:r>
      <w:r w:rsidR="00B31608">
        <w:t>ve control</w:t>
      </w:r>
      <w:r w:rsidRPr="00B30773">
        <w:t>,</w:t>
      </w:r>
      <w:r w:rsidR="00B31608">
        <w:t xml:space="preserve"> cumulative trauma, health needs and patterns of</w:t>
      </w:r>
      <w:r w:rsidRPr="00B30773">
        <w:t xml:space="preserve"> risk.</w:t>
      </w:r>
    </w:p>
    <w:p w14:paraId="1E8DD3B9" w14:textId="602F5A71" w:rsidR="00B30773" w:rsidRDefault="00B30773" w:rsidP="001D1AC2">
      <w:pPr>
        <w:pStyle w:val="ListParagraph"/>
        <w:numPr>
          <w:ilvl w:val="0"/>
          <w:numId w:val="31"/>
        </w:numPr>
      </w:pPr>
      <w:r w:rsidRPr="00B30773">
        <w:lastRenderedPageBreak/>
        <w:t>Ensuring service models are adaptable</w:t>
      </w:r>
      <w:r w:rsidR="00B31608">
        <w:t>,</w:t>
      </w:r>
      <w:r w:rsidRPr="00B30773">
        <w:t xml:space="preserve"> </w:t>
      </w:r>
      <w:r w:rsidR="00B31608">
        <w:t>integrated and responsive</w:t>
      </w:r>
      <w:r w:rsidRPr="00B30773">
        <w:t xml:space="preserve"> </w:t>
      </w:r>
      <w:r w:rsidR="00B31608">
        <w:t xml:space="preserve">to </w:t>
      </w:r>
      <w:r w:rsidRPr="00B30773">
        <w:t>people with complex</w:t>
      </w:r>
      <w:r w:rsidR="00B31608">
        <w:t xml:space="preserve"> and intersecting</w:t>
      </w:r>
      <w:r w:rsidRPr="00B30773">
        <w:t xml:space="preserve"> needs who are often excluded from mainstream</w:t>
      </w:r>
      <w:r w:rsidR="00B31608">
        <w:t xml:space="preserve"> DFSV</w:t>
      </w:r>
      <w:r w:rsidRPr="00B30773">
        <w:t xml:space="preserve"> responses.</w:t>
      </w:r>
    </w:p>
    <w:p w14:paraId="01DD282B" w14:textId="138AB546" w:rsidR="00B31608" w:rsidRDefault="00B31608" w:rsidP="001D1AC2">
      <w:pPr>
        <w:pStyle w:val="ListParagraph"/>
        <w:numPr>
          <w:ilvl w:val="0"/>
          <w:numId w:val="31"/>
        </w:numPr>
      </w:pPr>
      <w:r>
        <w:t>Strengthening continuity of care and information sharing between custodial health services, specialist DFSV services and community health providers to support recovery following release.</w:t>
      </w:r>
    </w:p>
    <w:p w14:paraId="324D1487" w14:textId="1AC12089" w:rsidR="00B31608" w:rsidRPr="00B30773" w:rsidRDefault="00B31608" w:rsidP="001D1AC2">
      <w:pPr>
        <w:pStyle w:val="ListParagraph"/>
        <w:numPr>
          <w:ilvl w:val="0"/>
          <w:numId w:val="31"/>
        </w:numPr>
      </w:pPr>
      <w:r>
        <w:t xml:space="preserve">National data collection on DFSV among justice-involved populations, including pathways into custody, health needs, referral outcomes and continuity of care, to address a significant evidence gap and better inform future policy. </w:t>
      </w:r>
    </w:p>
    <w:sectPr w:rsidR="00B31608" w:rsidRPr="00B3077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EA8A8" w14:textId="77777777" w:rsidR="000121B3" w:rsidRDefault="000121B3" w:rsidP="00E344A0">
      <w:pPr>
        <w:spacing w:after="0" w:line="240" w:lineRule="auto"/>
      </w:pPr>
      <w:r>
        <w:separator/>
      </w:r>
    </w:p>
  </w:endnote>
  <w:endnote w:type="continuationSeparator" w:id="0">
    <w:p w14:paraId="7417D851" w14:textId="77777777" w:rsidR="000121B3" w:rsidRDefault="000121B3" w:rsidP="00E34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4C8A" w14:textId="4CBC58A6" w:rsidR="00E344A0" w:rsidRDefault="00E344A0">
    <w:pPr>
      <w:pStyle w:val="Footer"/>
    </w:pPr>
    <w:r>
      <w:t>G345/26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0D17" w14:textId="77777777" w:rsidR="000121B3" w:rsidRDefault="000121B3" w:rsidP="00E344A0">
      <w:pPr>
        <w:spacing w:after="0" w:line="240" w:lineRule="auto"/>
      </w:pPr>
      <w:r>
        <w:separator/>
      </w:r>
    </w:p>
  </w:footnote>
  <w:footnote w:type="continuationSeparator" w:id="0">
    <w:p w14:paraId="5E705AB7" w14:textId="77777777" w:rsidR="000121B3" w:rsidRDefault="000121B3" w:rsidP="00E344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486"/>
    <w:multiLevelType w:val="hybridMultilevel"/>
    <w:tmpl w:val="6D3024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A356C5"/>
    <w:multiLevelType w:val="multilevel"/>
    <w:tmpl w:val="1368E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F04406"/>
    <w:multiLevelType w:val="hybridMultilevel"/>
    <w:tmpl w:val="ADB0D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2F6D21"/>
    <w:multiLevelType w:val="multilevel"/>
    <w:tmpl w:val="9DA2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101E58"/>
    <w:multiLevelType w:val="hybridMultilevel"/>
    <w:tmpl w:val="BEE03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2B6224"/>
    <w:multiLevelType w:val="hybridMultilevel"/>
    <w:tmpl w:val="A3EE7DC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0320515"/>
    <w:multiLevelType w:val="hybridMultilevel"/>
    <w:tmpl w:val="70B67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E172B8"/>
    <w:multiLevelType w:val="hybridMultilevel"/>
    <w:tmpl w:val="AB9C0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810835"/>
    <w:multiLevelType w:val="multilevel"/>
    <w:tmpl w:val="20F22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9263D1"/>
    <w:multiLevelType w:val="hybridMultilevel"/>
    <w:tmpl w:val="4BB605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2D6D4B"/>
    <w:multiLevelType w:val="hybridMultilevel"/>
    <w:tmpl w:val="4184DFF6"/>
    <w:lvl w:ilvl="0" w:tplc="6BAE51EA">
      <w:start w:val="1"/>
      <w:numFmt w:val="decimal"/>
      <w:lvlText w:val="%1."/>
      <w:lvlJc w:val="left"/>
      <w:pPr>
        <w:ind w:left="720" w:hanging="360"/>
      </w:pPr>
      <w:rPr>
        <w:rFonts w:asciiTheme="minorHAnsi" w:eastAsiaTheme="minorHAnsi" w:hAnsiTheme="minorHAnsi" w:cstheme="minorBid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650972"/>
    <w:multiLevelType w:val="hybridMultilevel"/>
    <w:tmpl w:val="2C788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EA7EFF"/>
    <w:multiLevelType w:val="hybridMultilevel"/>
    <w:tmpl w:val="AAE00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5C2965"/>
    <w:multiLevelType w:val="hybridMultilevel"/>
    <w:tmpl w:val="9F5E5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0B2E51"/>
    <w:multiLevelType w:val="hybridMultilevel"/>
    <w:tmpl w:val="3E408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CC4170"/>
    <w:multiLevelType w:val="hybridMultilevel"/>
    <w:tmpl w:val="60F06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AA6348"/>
    <w:multiLevelType w:val="hybridMultilevel"/>
    <w:tmpl w:val="1DCA4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44F4164"/>
    <w:multiLevelType w:val="multilevel"/>
    <w:tmpl w:val="AD20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C16C52"/>
    <w:multiLevelType w:val="multilevel"/>
    <w:tmpl w:val="CC04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2D209F"/>
    <w:multiLevelType w:val="multilevel"/>
    <w:tmpl w:val="3A2E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0869FC"/>
    <w:multiLevelType w:val="hybridMultilevel"/>
    <w:tmpl w:val="7A78BEBC"/>
    <w:lvl w:ilvl="0" w:tplc="0C090001">
      <w:start w:val="1"/>
      <w:numFmt w:val="bullet"/>
      <w:lvlText w:val=""/>
      <w:lvlJc w:val="left"/>
      <w:pPr>
        <w:ind w:left="820" w:hanging="360"/>
      </w:pPr>
      <w:rPr>
        <w:rFonts w:ascii="Symbol" w:hAnsi="Symbol"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21" w15:restartNumberingAfterBreak="0">
    <w:nsid w:val="4F716B38"/>
    <w:multiLevelType w:val="hybridMultilevel"/>
    <w:tmpl w:val="FF9CA3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7872430"/>
    <w:multiLevelType w:val="multilevel"/>
    <w:tmpl w:val="E5E4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129F9"/>
    <w:multiLevelType w:val="hybridMultilevel"/>
    <w:tmpl w:val="E418F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EE769A6"/>
    <w:multiLevelType w:val="hybridMultilevel"/>
    <w:tmpl w:val="AE30E09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71065534"/>
    <w:multiLevelType w:val="hybridMultilevel"/>
    <w:tmpl w:val="F5880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C045F1"/>
    <w:multiLevelType w:val="multilevel"/>
    <w:tmpl w:val="FB1C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7736C9"/>
    <w:multiLevelType w:val="hybridMultilevel"/>
    <w:tmpl w:val="1494D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618574C"/>
    <w:multiLevelType w:val="multilevel"/>
    <w:tmpl w:val="AF58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ED5950"/>
    <w:multiLevelType w:val="hybridMultilevel"/>
    <w:tmpl w:val="28023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D447962"/>
    <w:multiLevelType w:val="hybridMultilevel"/>
    <w:tmpl w:val="DFC64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DD77803"/>
    <w:multiLevelType w:val="hybridMultilevel"/>
    <w:tmpl w:val="C53C3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778176">
    <w:abstractNumId w:val="19"/>
  </w:num>
  <w:num w:numId="2" w16cid:durableId="884757968">
    <w:abstractNumId w:val="28"/>
  </w:num>
  <w:num w:numId="3" w16cid:durableId="44181815">
    <w:abstractNumId w:val="22"/>
  </w:num>
  <w:num w:numId="4" w16cid:durableId="1388067155">
    <w:abstractNumId w:val="17"/>
  </w:num>
  <w:num w:numId="5" w16cid:durableId="2125273630">
    <w:abstractNumId w:val="3"/>
  </w:num>
  <w:num w:numId="6" w16cid:durableId="1219317927">
    <w:abstractNumId w:val="20"/>
  </w:num>
  <w:num w:numId="7" w16cid:durableId="493303666">
    <w:abstractNumId w:val="21"/>
  </w:num>
  <w:num w:numId="8" w16cid:durableId="1842038948">
    <w:abstractNumId w:val="5"/>
  </w:num>
  <w:num w:numId="9" w16cid:durableId="1362785961">
    <w:abstractNumId w:val="27"/>
  </w:num>
  <w:num w:numId="10" w16cid:durableId="549027388">
    <w:abstractNumId w:val="10"/>
  </w:num>
  <w:num w:numId="11" w16cid:durableId="843472231">
    <w:abstractNumId w:val="4"/>
  </w:num>
  <w:num w:numId="12" w16cid:durableId="1659307348">
    <w:abstractNumId w:val="13"/>
  </w:num>
  <w:num w:numId="13" w16cid:durableId="1895770916">
    <w:abstractNumId w:val="16"/>
  </w:num>
  <w:num w:numId="14" w16cid:durableId="1847359339">
    <w:abstractNumId w:val="2"/>
  </w:num>
  <w:num w:numId="15" w16cid:durableId="2043282185">
    <w:abstractNumId w:val="18"/>
  </w:num>
  <w:num w:numId="16" w16cid:durableId="1557085510">
    <w:abstractNumId w:val="26"/>
  </w:num>
  <w:num w:numId="17" w16cid:durableId="637684176">
    <w:abstractNumId w:val="1"/>
  </w:num>
  <w:num w:numId="18" w16cid:durableId="1703364833">
    <w:abstractNumId w:val="15"/>
  </w:num>
  <w:num w:numId="19" w16cid:durableId="1648507864">
    <w:abstractNumId w:val="9"/>
  </w:num>
  <w:num w:numId="20" w16cid:durableId="888031099">
    <w:abstractNumId w:val="6"/>
  </w:num>
  <w:num w:numId="21" w16cid:durableId="8414030">
    <w:abstractNumId w:val="23"/>
  </w:num>
  <w:num w:numId="22" w16cid:durableId="1516070154">
    <w:abstractNumId w:val="29"/>
  </w:num>
  <w:num w:numId="23" w16cid:durableId="1964992574">
    <w:abstractNumId w:val="24"/>
  </w:num>
  <w:num w:numId="24" w16cid:durableId="217012940">
    <w:abstractNumId w:val="7"/>
  </w:num>
  <w:num w:numId="25" w16cid:durableId="1637560523">
    <w:abstractNumId w:val="12"/>
  </w:num>
  <w:num w:numId="26" w16cid:durableId="1676228954">
    <w:abstractNumId w:val="25"/>
  </w:num>
  <w:num w:numId="27" w16cid:durableId="27071849">
    <w:abstractNumId w:val="8"/>
  </w:num>
  <w:num w:numId="28" w16cid:durableId="2034844115">
    <w:abstractNumId w:val="0"/>
  </w:num>
  <w:num w:numId="29" w16cid:durableId="434446330">
    <w:abstractNumId w:val="30"/>
  </w:num>
  <w:num w:numId="30" w16cid:durableId="1402410322">
    <w:abstractNumId w:val="14"/>
  </w:num>
  <w:num w:numId="31" w16cid:durableId="82378919">
    <w:abstractNumId w:val="11"/>
  </w:num>
  <w:num w:numId="32" w16cid:durableId="2125226140">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E94"/>
    <w:rsid w:val="000121B3"/>
    <w:rsid w:val="00015179"/>
    <w:rsid w:val="00025A04"/>
    <w:rsid w:val="00032DC4"/>
    <w:rsid w:val="00065663"/>
    <w:rsid w:val="000B0D3F"/>
    <w:rsid w:val="000B66F7"/>
    <w:rsid w:val="000C004B"/>
    <w:rsid w:val="0010673C"/>
    <w:rsid w:val="0011589A"/>
    <w:rsid w:val="00115AB0"/>
    <w:rsid w:val="00155255"/>
    <w:rsid w:val="00163906"/>
    <w:rsid w:val="00164237"/>
    <w:rsid w:val="001655E9"/>
    <w:rsid w:val="001C28BA"/>
    <w:rsid w:val="001C47E6"/>
    <w:rsid w:val="001D1AC2"/>
    <w:rsid w:val="001E456A"/>
    <w:rsid w:val="00205E51"/>
    <w:rsid w:val="0022742C"/>
    <w:rsid w:val="00245632"/>
    <w:rsid w:val="00253F73"/>
    <w:rsid w:val="00255756"/>
    <w:rsid w:val="00287C68"/>
    <w:rsid w:val="002966E0"/>
    <w:rsid w:val="002B2395"/>
    <w:rsid w:val="002B7EB0"/>
    <w:rsid w:val="002C6F02"/>
    <w:rsid w:val="002F53B8"/>
    <w:rsid w:val="003066FD"/>
    <w:rsid w:val="00345219"/>
    <w:rsid w:val="00366828"/>
    <w:rsid w:val="00374887"/>
    <w:rsid w:val="00396DDC"/>
    <w:rsid w:val="003C6052"/>
    <w:rsid w:val="003C72EA"/>
    <w:rsid w:val="003D0068"/>
    <w:rsid w:val="003D2B7D"/>
    <w:rsid w:val="00420068"/>
    <w:rsid w:val="00430BBC"/>
    <w:rsid w:val="004756AC"/>
    <w:rsid w:val="00482D92"/>
    <w:rsid w:val="004B3BE5"/>
    <w:rsid w:val="004B454C"/>
    <w:rsid w:val="004D22E4"/>
    <w:rsid w:val="004E5C86"/>
    <w:rsid w:val="00513015"/>
    <w:rsid w:val="005214A0"/>
    <w:rsid w:val="00531871"/>
    <w:rsid w:val="00550064"/>
    <w:rsid w:val="005600D2"/>
    <w:rsid w:val="005935F2"/>
    <w:rsid w:val="00597566"/>
    <w:rsid w:val="00597783"/>
    <w:rsid w:val="005A5892"/>
    <w:rsid w:val="00603A79"/>
    <w:rsid w:val="0060550C"/>
    <w:rsid w:val="006177BB"/>
    <w:rsid w:val="00621BC8"/>
    <w:rsid w:val="0064183A"/>
    <w:rsid w:val="0066174E"/>
    <w:rsid w:val="00662B06"/>
    <w:rsid w:val="00671E02"/>
    <w:rsid w:val="00682BAF"/>
    <w:rsid w:val="006870D6"/>
    <w:rsid w:val="006932B2"/>
    <w:rsid w:val="00694B5D"/>
    <w:rsid w:val="006A2878"/>
    <w:rsid w:val="006C1C71"/>
    <w:rsid w:val="006E4E53"/>
    <w:rsid w:val="006F1538"/>
    <w:rsid w:val="0070261B"/>
    <w:rsid w:val="0072011D"/>
    <w:rsid w:val="00733726"/>
    <w:rsid w:val="00744819"/>
    <w:rsid w:val="007735DA"/>
    <w:rsid w:val="0078257E"/>
    <w:rsid w:val="007855FB"/>
    <w:rsid w:val="00786ACC"/>
    <w:rsid w:val="007927F2"/>
    <w:rsid w:val="007A1716"/>
    <w:rsid w:val="007D14F1"/>
    <w:rsid w:val="0081778B"/>
    <w:rsid w:val="008468E1"/>
    <w:rsid w:val="008639CF"/>
    <w:rsid w:val="00867D61"/>
    <w:rsid w:val="00875971"/>
    <w:rsid w:val="008979D5"/>
    <w:rsid w:val="008F3DC0"/>
    <w:rsid w:val="00901B91"/>
    <w:rsid w:val="009304F2"/>
    <w:rsid w:val="0093165B"/>
    <w:rsid w:val="00937FCF"/>
    <w:rsid w:val="00946164"/>
    <w:rsid w:val="00962CEF"/>
    <w:rsid w:val="0096451A"/>
    <w:rsid w:val="009704BE"/>
    <w:rsid w:val="00971F22"/>
    <w:rsid w:val="00976640"/>
    <w:rsid w:val="009C12D1"/>
    <w:rsid w:val="00A12406"/>
    <w:rsid w:val="00A132D4"/>
    <w:rsid w:val="00A15B20"/>
    <w:rsid w:val="00A34E62"/>
    <w:rsid w:val="00A43CC3"/>
    <w:rsid w:val="00A47EAB"/>
    <w:rsid w:val="00A60175"/>
    <w:rsid w:val="00A6056E"/>
    <w:rsid w:val="00AB4537"/>
    <w:rsid w:val="00B0777E"/>
    <w:rsid w:val="00B10E4D"/>
    <w:rsid w:val="00B10E94"/>
    <w:rsid w:val="00B30773"/>
    <w:rsid w:val="00B31608"/>
    <w:rsid w:val="00B36030"/>
    <w:rsid w:val="00B532A7"/>
    <w:rsid w:val="00B70312"/>
    <w:rsid w:val="00B709B0"/>
    <w:rsid w:val="00B72093"/>
    <w:rsid w:val="00B74324"/>
    <w:rsid w:val="00B92B5E"/>
    <w:rsid w:val="00BE1D66"/>
    <w:rsid w:val="00C21B63"/>
    <w:rsid w:val="00C31CD3"/>
    <w:rsid w:val="00C36B59"/>
    <w:rsid w:val="00C37787"/>
    <w:rsid w:val="00C53C9D"/>
    <w:rsid w:val="00C62756"/>
    <w:rsid w:val="00C635D4"/>
    <w:rsid w:val="00C901A9"/>
    <w:rsid w:val="00C902C5"/>
    <w:rsid w:val="00CB706C"/>
    <w:rsid w:val="00CD634F"/>
    <w:rsid w:val="00CE509A"/>
    <w:rsid w:val="00D612D1"/>
    <w:rsid w:val="00D721AB"/>
    <w:rsid w:val="00D73A54"/>
    <w:rsid w:val="00D8305A"/>
    <w:rsid w:val="00D8789B"/>
    <w:rsid w:val="00DB05B0"/>
    <w:rsid w:val="00DB6C25"/>
    <w:rsid w:val="00DC01F4"/>
    <w:rsid w:val="00DE788B"/>
    <w:rsid w:val="00DF4BB7"/>
    <w:rsid w:val="00E06228"/>
    <w:rsid w:val="00E07561"/>
    <w:rsid w:val="00E11A47"/>
    <w:rsid w:val="00E17B3C"/>
    <w:rsid w:val="00E23647"/>
    <w:rsid w:val="00E248E8"/>
    <w:rsid w:val="00E25361"/>
    <w:rsid w:val="00E344A0"/>
    <w:rsid w:val="00E77F42"/>
    <w:rsid w:val="00E81BD1"/>
    <w:rsid w:val="00E84199"/>
    <w:rsid w:val="00ED5395"/>
    <w:rsid w:val="00EF39AB"/>
    <w:rsid w:val="00F16E01"/>
    <w:rsid w:val="00F30229"/>
    <w:rsid w:val="00F570D3"/>
    <w:rsid w:val="00F65C69"/>
    <w:rsid w:val="00F87446"/>
    <w:rsid w:val="00F942A7"/>
    <w:rsid w:val="00F94A70"/>
    <w:rsid w:val="00FA3418"/>
    <w:rsid w:val="00FB2F25"/>
    <w:rsid w:val="00FD18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F388"/>
  <w15:chartTrackingRefBased/>
  <w15:docId w15:val="{0073EB20-9B42-4C12-B76E-7EE3FD7B4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0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0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E94"/>
    <w:rPr>
      <w:rFonts w:eastAsiaTheme="majorEastAsia" w:cstheme="majorBidi"/>
      <w:color w:val="272727" w:themeColor="text1" w:themeTint="D8"/>
    </w:rPr>
  </w:style>
  <w:style w:type="paragraph" w:styleId="Title">
    <w:name w:val="Title"/>
    <w:basedOn w:val="Normal"/>
    <w:next w:val="Normal"/>
    <w:link w:val="TitleChar"/>
    <w:uiPriority w:val="10"/>
    <w:qFormat/>
    <w:rsid w:val="00B10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E94"/>
    <w:pPr>
      <w:spacing w:before="160"/>
      <w:jc w:val="center"/>
    </w:pPr>
    <w:rPr>
      <w:i/>
      <w:iCs/>
      <w:color w:val="404040" w:themeColor="text1" w:themeTint="BF"/>
    </w:rPr>
  </w:style>
  <w:style w:type="character" w:customStyle="1" w:styleId="QuoteChar">
    <w:name w:val="Quote Char"/>
    <w:basedOn w:val="DefaultParagraphFont"/>
    <w:link w:val="Quote"/>
    <w:uiPriority w:val="29"/>
    <w:rsid w:val="00B10E94"/>
    <w:rPr>
      <w:i/>
      <w:iCs/>
      <w:color w:val="404040" w:themeColor="text1" w:themeTint="BF"/>
    </w:rPr>
  </w:style>
  <w:style w:type="paragraph" w:styleId="ListParagraph">
    <w:name w:val="List Paragraph"/>
    <w:basedOn w:val="Normal"/>
    <w:uiPriority w:val="34"/>
    <w:qFormat/>
    <w:rsid w:val="00B10E94"/>
    <w:pPr>
      <w:ind w:left="720"/>
      <w:contextualSpacing/>
    </w:pPr>
  </w:style>
  <w:style w:type="character" w:styleId="IntenseEmphasis">
    <w:name w:val="Intense Emphasis"/>
    <w:basedOn w:val="DefaultParagraphFont"/>
    <w:uiPriority w:val="21"/>
    <w:qFormat/>
    <w:rsid w:val="00B10E94"/>
    <w:rPr>
      <w:i/>
      <w:iCs/>
      <w:color w:val="0F4761" w:themeColor="accent1" w:themeShade="BF"/>
    </w:rPr>
  </w:style>
  <w:style w:type="paragraph" w:styleId="IntenseQuote">
    <w:name w:val="Intense Quote"/>
    <w:basedOn w:val="Normal"/>
    <w:next w:val="Normal"/>
    <w:link w:val="IntenseQuoteChar"/>
    <w:uiPriority w:val="30"/>
    <w:qFormat/>
    <w:rsid w:val="00B10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E94"/>
    <w:rPr>
      <w:i/>
      <w:iCs/>
      <w:color w:val="0F4761" w:themeColor="accent1" w:themeShade="BF"/>
    </w:rPr>
  </w:style>
  <w:style w:type="character" w:styleId="IntenseReference">
    <w:name w:val="Intense Reference"/>
    <w:basedOn w:val="DefaultParagraphFont"/>
    <w:uiPriority w:val="32"/>
    <w:qFormat/>
    <w:rsid w:val="00B10E94"/>
    <w:rPr>
      <w:b/>
      <w:bCs/>
      <w:smallCaps/>
      <w:color w:val="0F4761" w:themeColor="accent1" w:themeShade="BF"/>
      <w:spacing w:val="5"/>
    </w:rPr>
  </w:style>
  <w:style w:type="paragraph" w:styleId="NormalWeb">
    <w:name w:val="Normal (Web)"/>
    <w:basedOn w:val="Normal"/>
    <w:uiPriority w:val="99"/>
    <w:unhideWhenUsed/>
    <w:rsid w:val="00A43CC3"/>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unhideWhenUsed/>
    <w:rsid w:val="00A43CC3"/>
    <w:rPr>
      <w:color w:val="467886" w:themeColor="hyperlink"/>
      <w:u w:val="single"/>
    </w:rPr>
  </w:style>
  <w:style w:type="character" w:styleId="UnresolvedMention">
    <w:name w:val="Unresolved Mention"/>
    <w:basedOn w:val="DefaultParagraphFont"/>
    <w:uiPriority w:val="99"/>
    <w:semiHidden/>
    <w:unhideWhenUsed/>
    <w:rsid w:val="00A43CC3"/>
    <w:rPr>
      <w:color w:val="605E5C"/>
      <w:shd w:val="clear" w:color="auto" w:fill="E1DFDD"/>
    </w:rPr>
  </w:style>
  <w:style w:type="paragraph" w:customStyle="1" w:styleId="isselectedend">
    <w:name w:val="isselectedend"/>
    <w:basedOn w:val="Normal"/>
    <w:rsid w:val="00671E0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Header">
    <w:name w:val="header"/>
    <w:basedOn w:val="Normal"/>
    <w:link w:val="HeaderChar"/>
    <w:uiPriority w:val="99"/>
    <w:unhideWhenUsed/>
    <w:rsid w:val="00E34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4A0"/>
  </w:style>
  <w:style w:type="paragraph" w:styleId="Footer">
    <w:name w:val="footer"/>
    <w:basedOn w:val="Normal"/>
    <w:link w:val="FooterChar"/>
    <w:uiPriority w:val="99"/>
    <w:unhideWhenUsed/>
    <w:rsid w:val="00E34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944">
      <w:bodyDiv w:val="1"/>
      <w:marLeft w:val="0"/>
      <w:marRight w:val="0"/>
      <w:marTop w:val="0"/>
      <w:marBottom w:val="0"/>
      <w:divBdr>
        <w:top w:val="none" w:sz="0" w:space="0" w:color="auto"/>
        <w:left w:val="none" w:sz="0" w:space="0" w:color="auto"/>
        <w:bottom w:val="none" w:sz="0" w:space="0" w:color="auto"/>
        <w:right w:val="none" w:sz="0" w:space="0" w:color="auto"/>
      </w:divBdr>
      <w:divsChild>
        <w:div w:id="512572213">
          <w:marLeft w:val="0"/>
          <w:marRight w:val="0"/>
          <w:marTop w:val="0"/>
          <w:marBottom w:val="0"/>
          <w:divBdr>
            <w:top w:val="none" w:sz="0" w:space="0" w:color="auto"/>
            <w:left w:val="none" w:sz="0" w:space="0" w:color="auto"/>
            <w:bottom w:val="none" w:sz="0" w:space="0" w:color="auto"/>
            <w:right w:val="none" w:sz="0" w:space="0" w:color="auto"/>
          </w:divBdr>
        </w:div>
      </w:divsChild>
    </w:div>
    <w:div w:id="90784268">
      <w:bodyDiv w:val="1"/>
      <w:marLeft w:val="0"/>
      <w:marRight w:val="0"/>
      <w:marTop w:val="0"/>
      <w:marBottom w:val="0"/>
      <w:divBdr>
        <w:top w:val="none" w:sz="0" w:space="0" w:color="auto"/>
        <w:left w:val="none" w:sz="0" w:space="0" w:color="auto"/>
        <w:bottom w:val="none" w:sz="0" w:space="0" w:color="auto"/>
        <w:right w:val="none" w:sz="0" w:space="0" w:color="auto"/>
      </w:divBdr>
    </w:div>
    <w:div w:id="113063160">
      <w:bodyDiv w:val="1"/>
      <w:marLeft w:val="0"/>
      <w:marRight w:val="0"/>
      <w:marTop w:val="0"/>
      <w:marBottom w:val="0"/>
      <w:divBdr>
        <w:top w:val="none" w:sz="0" w:space="0" w:color="auto"/>
        <w:left w:val="none" w:sz="0" w:space="0" w:color="auto"/>
        <w:bottom w:val="none" w:sz="0" w:space="0" w:color="auto"/>
        <w:right w:val="none" w:sz="0" w:space="0" w:color="auto"/>
      </w:divBdr>
    </w:div>
    <w:div w:id="187566726">
      <w:bodyDiv w:val="1"/>
      <w:marLeft w:val="0"/>
      <w:marRight w:val="0"/>
      <w:marTop w:val="0"/>
      <w:marBottom w:val="0"/>
      <w:divBdr>
        <w:top w:val="none" w:sz="0" w:space="0" w:color="auto"/>
        <w:left w:val="none" w:sz="0" w:space="0" w:color="auto"/>
        <w:bottom w:val="none" w:sz="0" w:space="0" w:color="auto"/>
        <w:right w:val="none" w:sz="0" w:space="0" w:color="auto"/>
      </w:divBdr>
      <w:divsChild>
        <w:div w:id="704403989">
          <w:marLeft w:val="0"/>
          <w:marRight w:val="0"/>
          <w:marTop w:val="0"/>
          <w:marBottom w:val="0"/>
          <w:divBdr>
            <w:top w:val="none" w:sz="0" w:space="0" w:color="auto"/>
            <w:left w:val="none" w:sz="0" w:space="0" w:color="auto"/>
            <w:bottom w:val="none" w:sz="0" w:space="0" w:color="auto"/>
            <w:right w:val="none" w:sz="0" w:space="0" w:color="auto"/>
          </w:divBdr>
        </w:div>
      </w:divsChild>
    </w:div>
    <w:div w:id="208079079">
      <w:bodyDiv w:val="1"/>
      <w:marLeft w:val="0"/>
      <w:marRight w:val="0"/>
      <w:marTop w:val="0"/>
      <w:marBottom w:val="0"/>
      <w:divBdr>
        <w:top w:val="none" w:sz="0" w:space="0" w:color="auto"/>
        <w:left w:val="none" w:sz="0" w:space="0" w:color="auto"/>
        <w:bottom w:val="none" w:sz="0" w:space="0" w:color="auto"/>
        <w:right w:val="none" w:sz="0" w:space="0" w:color="auto"/>
      </w:divBdr>
    </w:div>
    <w:div w:id="264507275">
      <w:bodyDiv w:val="1"/>
      <w:marLeft w:val="0"/>
      <w:marRight w:val="0"/>
      <w:marTop w:val="0"/>
      <w:marBottom w:val="0"/>
      <w:divBdr>
        <w:top w:val="none" w:sz="0" w:space="0" w:color="auto"/>
        <w:left w:val="none" w:sz="0" w:space="0" w:color="auto"/>
        <w:bottom w:val="none" w:sz="0" w:space="0" w:color="auto"/>
        <w:right w:val="none" w:sz="0" w:space="0" w:color="auto"/>
      </w:divBdr>
    </w:div>
    <w:div w:id="330567669">
      <w:bodyDiv w:val="1"/>
      <w:marLeft w:val="0"/>
      <w:marRight w:val="0"/>
      <w:marTop w:val="0"/>
      <w:marBottom w:val="0"/>
      <w:divBdr>
        <w:top w:val="none" w:sz="0" w:space="0" w:color="auto"/>
        <w:left w:val="none" w:sz="0" w:space="0" w:color="auto"/>
        <w:bottom w:val="none" w:sz="0" w:space="0" w:color="auto"/>
        <w:right w:val="none" w:sz="0" w:space="0" w:color="auto"/>
      </w:divBdr>
    </w:div>
    <w:div w:id="432365261">
      <w:bodyDiv w:val="1"/>
      <w:marLeft w:val="0"/>
      <w:marRight w:val="0"/>
      <w:marTop w:val="0"/>
      <w:marBottom w:val="0"/>
      <w:divBdr>
        <w:top w:val="none" w:sz="0" w:space="0" w:color="auto"/>
        <w:left w:val="none" w:sz="0" w:space="0" w:color="auto"/>
        <w:bottom w:val="none" w:sz="0" w:space="0" w:color="auto"/>
        <w:right w:val="none" w:sz="0" w:space="0" w:color="auto"/>
      </w:divBdr>
    </w:div>
    <w:div w:id="435293049">
      <w:bodyDiv w:val="1"/>
      <w:marLeft w:val="0"/>
      <w:marRight w:val="0"/>
      <w:marTop w:val="0"/>
      <w:marBottom w:val="0"/>
      <w:divBdr>
        <w:top w:val="none" w:sz="0" w:space="0" w:color="auto"/>
        <w:left w:val="none" w:sz="0" w:space="0" w:color="auto"/>
        <w:bottom w:val="none" w:sz="0" w:space="0" w:color="auto"/>
        <w:right w:val="none" w:sz="0" w:space="0" w:color="auto"/>
      </w:divBdr>
    </w:div>
    <w:div w:id="447117594">
      <w:bodyDiv w:val="1"/>
      <w:marLeft w:val="0"/>
      <w:marRight w:val="0"/>
      <w:marTop w:val="0"/>
      <w:marBottom w:val="0"/>
      <w:divBdr>
        <w:top w:val="none" w:sz="0" w:space="0" w:color="auto"/>
        <w:left w:val="none" w:sz="0" w:space="0" w:color="auto"/>
        <w:bottom w:val="none" w:sz="0" w:space="0" w:color="auto"/>
        <w:right w:val="none" w:sz="0" w:space="0" w:color="auto"/>
      </w:divBdr>
    </w:div>
    <w:div w:id="467472760">
      <w:bodyDiv w:val="1"/>
      <w:marLeft w:val="0"/>
      <w:marRight w:val="0"/>
      <w:marTop w:val="0"/>
      <w:marBottom w:val="0"/>
      <w:divBdr>
        <w:top w:val="none" w:sz="0" w:space="0" w:color="auto"/>
        <w:left w:val="none" w:sz="0" w:space="0" w:color="auto"/>
        <w:bottom w:val="none" w:sz="0" w:space="0" w:color="auto"/>
        <w:right w:val="none" w:sz="0" w:space="0" w:color="auto"/>
      </w:divBdr>
    </w:div>
    <w:div w:id="499975346">
      <w:bodyDiv w:val="1"/>
      <w:marLeft w:val="0"/>
      <w:marRight w:val="0"/>
      <w:marTop w:val="0"/>
      <w:marBottom w:val="0"/>
      <w:divBdr>
        <w:top w:val="none" w:sz="0" w:space="0" w:color="auto"/>
        <w:left w:val="none" w:sz="0" w:space="0" w:color="auto"/>
        <w:bottom w:val="none" w:sz="0" w:space="0" w:color="auto"/>
        <w:right w:val="none" w:sz="0" w:space="0" w:color="auto"/>
      </w:divBdr>
    </w:div>
    <w:div w:id="547038231">
      <w:bodyDiv w:val="1"/>
      <w:marLeft w:val="0"/>
      <w:marRight w:val="0"/>
      <w:marTop w:val="0"/>
      <w:marBottom w:val="0"/>
      <w:divBdr>
        <w:top w:val="none" w:sz="0" w:space="0" w:color="auto"/>
        <w:left w:val="none" w:sz="0" w:space="0" w:color="auto"/>
        <w:bottom w:val="none" w:sz="0" w:space="0" w:color="auto"/>
        <w:right w:val="none" w:sz="0" w:space="0" w:color="auto"/>
      </w:divBdr>
    </w:div>
    <w:div w:id="646203663">
      <w:bodyDiv w:val="1"/>
      <w:marLeft w:val="0"/>
      <w:marRight w:val="0"/>
      <w:marTop w:val="0"/>
      <w:marBottom w:val="0"/>
      <w:divBdr>
        <w:top w:val="none" w:sz="0" w:space="0" w:color="auto"/>
        <w:left w:val="none" w:sz="0" w:space="0" w:color="auto"/>
        <w:bottom w:val="none" w:sz="0" w:space="0" w:color="auto"/>
        <w:right w:val="none" w:sz="0" w:space="0" w:color="auto"/>
      </w:divBdr>
    </w:div>
    <w:div w:id="823935925">
      <w:bodyDiv w:val="1"/>
      <w:marLeft w:val="0"/>
      <w:marRight w:val="0"/>
      <w:marTop w:val="0"/>
      <w:marBottom w:val="0"/>
      <w:divBdr>
        <w:top w:val="none" w:sz="0" w:space="0" w:color="auto"/>
        <w:left w:val="none" w:sz="0" w:space="0" w:color="auto"/>
        <w:bottom w:val="none" w:sz="0" w:space="0" w:color="auto"/>
        <w:right w:val="none" w:sz="0" w:space="0" w:color="auto"/>
      </w:divBdr>
    </w:div>
    <w:div w:id="883521088">
      <w:bodyDiv w:val="1"/>
      <w:marLeft w:val="0"/>
      <w:marRight w:val="0"/>
      <w:marTop w:val="0"/>
      <w:marBottom w:val="0"/>
      <w:divBdr>
        <w:top w:val="none" w:sz="0" w:space="0" w:color="auto"/>
        <w:left w:val="none" w:sz="0" w:space="0" w:color="auto"/>
        <w:bottom w:val="none" w:sz="0" w:space="0" w:color="auto"/>
        <w:right w:val="none" w:sz="0" w:space="0" w:color="auto"/>
      </w:divBdr>
    </w:div>
    <w:div w:id="911114107">
      <w:bodyDiv w:val="1"/>
      <w:marLeft w:val="0"/>
      <w:marRight w:val="0"/>
      <w:marTop w:val="0"/>
      <w:marBottom w:val="0"/>
      <w:divBdr>
        <w:top w:val="none" w:sz="0" w:space="0" w:color="auto"/>
        <w:left w:val="none" w:sz="0" w:space="0" w:color="auto"/>
        <w:bottom w:val="none" w:sz="0" w:space="0" w:color="auto"/>
        <w:right w:val="none" w:sz="0" w:space="0" w:color="auto"/>
      </w:divBdr>
    </w:div>
    <w:div w:id="932201079">
      <w:bodyDiv w:val="1"/>
      <w:marLeft w:val="0"/>
      <w:marRight w:val="0"/>
      <w:marTop w:val="0"/>
      <w:marBottom w:val="0"/>
      <w:divBdr>
        <w:top w:val="none" w:sz="0" w:space="0" w:color="auto"/>
        <w:left w:val="none" w:sz="0" w:space="0" w:color="auto"/>
        <w:bottom w:val="none" w:sz="0" w:space="0" w:color="auto"/>
        <w:right w:val="none" w:sz="0" w:space="0" w:color="auto"/>
      </w:divBdr>
    </w:div>
    <w:div w:id="950666339">
      <w:bodyDiv w:val="1"/>
      <w:marLeft w:val="0"/>
      <w:marRight w:val="0"/>
      <w:marTop w:val="0"/>
      <w:marBottom w:val="0"/>
      <w:divBdr>
        <w:top w:val="none" w:sz="0" w:space="0" w:color="auto"/>
        <w:left w:val="none" w:sz="0" w:space="0" w:color="auto"/>
        <w:bottom w:val="none" w:sz="0" w:space="0" w:color="auto"/>
        <w:right w:val="none" w:sz="0" w:space="0" w:color="auto"/>
      </w:divBdr>
    </w:div>
    <w:div w:id="971060411">
      <w:bodyDiv w:val="1"/>
      <w:marLeft w:val="0"/>
      <w:marRight w:val="0"/>
      <w:marTop w:val="0"/>
      <w:marBottom w:val="0"/>
      <w:divBdr>
        <w:top w:val="none" w:sz="0" w:space="0" w:color="auto"/>
        <w:left w:val="none" w:sz="0" w:space="0" w:color="auto"/>
        <w:bottom w:val="none" w:sz="0" w:space="0" w:color="auto"/>
        <w:right w:val="none" w:sz="0" w:space="0" w:color="auto"/>
      </w:divBdr>
    </w:div>
    <w:div w:id="973289349">
      <w:bodyDiv w:val="1"/>
      <w:marLeft w:val="0"/>
      <w:marRight w:val="0"/>
      <w:marTop w:val="0"/>
      <w:marBottom w:val="0"/>
      <w:divBdr>
        <w:top w:val="none" w:sz="0" w:space="0" w:color="auto"/>
        <w:left w:val="none" w:sz="0" w:space="0" w:color="auto"/>
        <w:bottom w:val="none" w:sz="0" w:space="0" w:color="auto"/>
        <w:right w:val="none" w:sz="0" w:space="0" w:color="auto"/>
      </w:divBdr>
      <w:divsChild>
        <w:div w:id="716315915">
          <w:marLeft w:val="0"/>
          <w:marRight w:val="0"/>
          <w:marTop w:val="0"/>
          <w:marBottom w:val="0"/>
          <w:divBdr>
            <w:top w:val="none" w:sz="0" w:space="0" w:color="auto"/>
            <w:left w:val="none" w:sz="0" w:space="0" w:color="auto"/>
            <w:bottom w:val="none" w:sz="0" w:space="0" w:color="auto"/>
            <w:right w:val="none" w:sz="0" w:space="0" w:color="auto"/>
          </w:divBdr>
        </w:div>
      </w:divsChild>
    </w:div>
    <w:div w:id="1065302603">
      <w:bodyDiv w:val="1"/>
      <w:marLeft w:val="0"/>
      <w:marRight w:val="0"/>
      <w:marTop w:val="0"/>
      <w:marBottom w:val="0"/>
      <w:divBdr>
        <w:top w:val="none" w:sz="0" w:space="0" w:color="auto"/>
        <w:left w:val="none" w:sz="0" w:space="0" w:color="auto"/>
        <w:bottom w:val="none" w:sz="0" w:space="0" w:color="auto"/>
        <w:right w:val="none" w:sz="0" w:space="0" w:color="auto"/>
      </w:divBdr>
    </w:div>
    <w:div w:id="1175921665">
      <w:bodyDiv w:val="1"/>
      <w:marLeft w:val="0"/>
      <w:marRight w:val="0"/>
      <w:marTop w:val="0"/>
      <w:marBottom w:val="0"/>
      <w:divBdr>
        <w:top w:val="none" w:sz="0" w:space="0" w:color="auto"/>
        <w:left w:val="none" w:sz="0" w:space="0" w:color="auto"/>
        <w:bottom w:val="none" w:sz="0" w:space="0" w:color="auto"/>
        <w:right w:val="none" w:sz="0" w:space="0" w:color="auto"/>
      </w:divBdr>
    </w:div>
    <w:div w:id="1445610399">
      <w:bodyDiv w:val="1"/>
      <w:marLeft w:val="0"/>
      <w:marRight w:val="0"/>
      <w:marTop w:val="0"/>
      <w:marBottom w:val="0"/>
      <w:divBdr>
        <w:top w:val="none" w:sz="0" w:space="0" w:color="auto"/>
        <w:left w:val="none" w:sz="0" w:space="0" w:color="auto"/>
        <w:bottom w:val="none" w:sz="0" w:space="0" w:color="auto"/>
        <w:right w:val="none" w:sz="0" w:space="0" w:color="auto"/>
      </w:divBdr>
      <w:divsChild>
        <w:div w:id="42367130">
          <w:marLeft w:val="0"/>
          <w:marRight w:val="0"/>
          <w:marTop w:val="0"/>
          <w:marBottom w:val="0"/>
          <w:divBdr>
            <w:top w:val="none" w:sz="0" w:space="0" w:color="auto"/>
            <w:left w:val="none" w:sz="0" w:space="0" w:color="auto"/>
            <w:bottom w:val="none" w:sz="0" w:space="0" w:color="auto"/>
            <w:right w:val="none" w:sz="0" w:space="0" w:color="auto"/>
          </w:divBdr>
        </w:div>
      </w:divsChild>
    </w:div>
    <w:div w:id="1459300957">
      <w:bodyDiv w:val="1"/>
      <w:marLeft w:val="0"/>
      <w:marRight w:val="0"/>
      <w:marTop w:val="0"/>
      <w:marBottom w:val="0"/>
      <w:divBdr>
        <w:top w:val="none" w:sz="0" w:space="0" w:color="auto"/>
        <w:left w:val="none" w:sz="0" w:space="0" w:color="auto"/>
        <w:bottom w:val="none" w:sz="0" w:space="0" w:color="auto"/>
        <w:right w:val="none" w:sz="0" w:space="0" w:color="auto"/>
      </w:divBdr>
      <w:divsChild>
        <w:div w:id="1356927963">
          <w:marLeft w:val="0"/>
          <w:marRight w:val="0"/>
          <w:marTop w:val="0"/>
          <w:marBottom w:val="0"/>
          <w:divBdr>
            <w:top w:val="none" w:sz="0" w:space="0" w:color="auto"/>
            <w:left w:val="none" w:sz="0" w:space="0" w:color="auto"/>
            <w:bottom w:val="none" w:sz="0" w:space="0" w:color="auto"/>
            <w:right w:val="none" w:sz="0" w:space="0" w:color="auto"/>
          </w:divBdr>
        </w:div>
      </w:divsChild>
    </w:div>
    <w:div w:id="1478377829">
      <w:bodyDiv w:val="1"/>
      <w:marLeft w:val="0"/>
      <w:marRight w:val="0"/>
      <w:marTop w:val="0"/>
      <w:marBottom w:val="0"/>
      <w:divBdr>
        <w:top w:val="none" w:sz="0" w:space="0" w:color="auto"/>
        <w:left w:val="none" w:sz="0" w:space="0" w:color="auto"/>
        <w:bottom w:val="none" w:sz="0" w:space="0" w:color="auto"/>
        <w:right w:val="none" w:sz="0" w:space="0" w:color="auto"/>
      </w:divBdr>
    </w:div>
    <w:div w:id="1526358889">
      <w:bodyDiv w:val="1"/>
      <w:marLeft w:val="0"/>
      <w:marRight w:val="0"/>
      <w:marTop w:val="0"/>
      <w:marBottom w:val="0"/>
      <w:divBdr>
        <w:top w:val="none" w:sz="0" w:space="0" w:color="auto"/>
        <w:left w:val="none" w:sz="0" w:space="0" w:color="auto"/>
        <w:bottom w:val="none" w:sz="0" w:space="0" w:color="auto"/>
        <w:right w:val="none" w:sz="0" w:space="0" w:color="auto"/>
      </w:divBdr>
    </w:div>
    <w:div w:id="1555848123">
      <w:bodyDiv w:val="1"/>
      <w:marLeft w:val="0"/>
      <w:marRight w:val="0"/>
      <w:marTop w:val="0"/>
      <w:marBottom w:val="0"/>
      <w:divBdr>
        <w:top w:val="none" w:sz="0" w:space="0" w:color="auto"/>
        <w:left w:val="none" w:sz="0" w:space="0" w:color="auto"/>
        <w:bottom w:val="none" w:sz="0" w:space="0" w:color="auto"/>
        <w:right w:val="none" w:sz="0" w:space="0" w:color="auto"/>
      </w:divBdr>
    </w:div>
    <w:div w:id="1591739319">
      <w:bodyDiv w:val="1"/>
      <w:marLeft w:val="0"/>
      <w:marRight w:val="0"/>
      <w:marTop w:val="0"/>
      <w:marBottom w:val="0"/>
      <w:divBdr>
        <w:top w:val="none" w:sz="0" w:space="0" w:color="auto"/>
        <w:left w:val="none" w:sz="0" w:space="0" w:color="auto"/>
        <w:bottom w:val="none" w:sz="0" w:space="0" w:color="auto"/>
        <w:right w:val="none" w:sz="0" w:space="0" w:color="auto"/>
      </w:divBdr>
    </w:div>
    <w:div w:id="1614701165">
      <w:bodyDiv w:val="1"/>
      <w:marLeft w:val="0"/>
      <w:marRight w:val="0"/>
      <w:marTop w:val="0"/>
      <w:marBottom w:val="0"/>
      <w:divBdr>
        <w:top w:val="none" w:sz="0" w:space="0" w:color="auto"/>
        <w:left w:val="none" w:sz="0" w:space="0" w:color="auto"/>
        <w:bottom w:val="none" w:sz="0" w:space="0" w:color="auto"/>
        <w:right w:val="none" w:sz="0" w:space="0" w:color="auto"/>
      </w:divBdr>
      <w:divsChild>
        <w:div w:id="1903523320">
          <w:marLeft w:val="0"/>
          <w:marRight w:val="0"/>
          <w:marTop w:val="0"/>
          <w:marBottom w:val="0"/>
          <w:divBdr>
            <w:top w:val="none" w:sz="0" w:space="0" w:color="auto"/>
            <w:left w:val="none" w:sz="0" w:space="0" w:color="auto"/>
            <w:bottom w:val="none" w:sz="0" w:space="0" w:color="auto"/>
            <w:right w:val="none" w:sz="0" w:space="0" w:color="auto"/>
          </w:divBdr>
        </w:div>
      </w:divsChild>
    </w:div>
    <w:div w:id="1620604981">
      <w:bodyDiv w:val="1"/>
      <w:marLeft w:val="0"/>
      <w:marRight w:val="0"/>
      <w:marTop w:val="0"/>
      <w:marBottom w:val="0"/>
      <w:divBdr>
        <w:top w:val="none" w:sz="0" w:space="0" w:color="auto"/>
        <w:left w:val="none" w:sz="0" w:space="0" w:color="auto"/>
        <w:bottom w:val="none" w:sz="0" w:space="0" w:color="auto"/>
        <w:right w:val="none" w:sz="0" w:space="0" w:color="auto"/>
      </w:divBdr>
    </w:div>
    <w:div w:id="1699966459">
      <w:bodyDiv w:val="1"/>
      <w:marLeft w:val="0"/>
      <w:marRight w:val="0"/>
      <w:marTop w:val="0"/>
      <w:marBottom w:val="0"/>
      <w:divBdr>
        <w:top w:val="none" w:sz="0" w:space="0" w:color="auto"/>
        <w:left w:val="none" w:sz="0" w:space="0" w:color="auto"/>
        <w:bottom w:val="none" w:sz="0" w:space="0" w:color="auto"/>
        <w:right w:val="none" w:sz="0" w:space="0" w:color="auto"/>
      </w:divBdr>
    </w:div>
    <w:div w:id="1789084619">
      <w:bodyDiv w:val="1"/>
      <w:marLeft w:val="0"/>
      <w:marRight w:val="0"/>
      <w:marTop w:val="0"/>
      <w:marBottom w:val="0"/>
      <w:divBdr>
        <w:top w:val="none" w:sz="0" w:space="0" w:color="auto"/>
        <w:left w:val="none" w:sz="0" w:space="0" w:color="auto"/>
        <w:bottom w:val="none" w:sz="0" w:space="0" w:color="auto"/>
        <w:right w:val="none" w:sz="0" w:space="0" w:color="auto"/>
      </w:divBdr>
    </w:div>
    <w:div w:id="1841188787">
      <w:bodyDiv w:val="1"/>
      <w:marLeft w:val="0"/>
      <w:marRight w:val="0"/>
      <w:marTop w:val="0"/>
      <w:marBottom w:val="0"/>
      <w:divBdr>
        <w:top w:val="none" w:sz="0" w:space="0" w:color="auto"/>
        <w:left w:val="none" w:sz="0" w:space="0" w:color="auto"/>
        <w:bottom w:val="none" w:sz="0" w:space="0" w:color="auto"/>
        <w:right w:val="none" w:sz="0" w:space="0" w:color="auto"/>
      </w:divBdr>
    </w:div>
    <w:div w:id="1847400981">
      <w:bodyDiv w:val="1"/>
      <w:marLeft w:val="0"/>
      <w:marRight w:val="0"/>
      <w:marTop w:val="0"/>
      <w:marBottom w:val="0"/>
      <w:divBdr>
        <w:top w:val="none" w:sz="0" w:space="0" w:color="auto"/>
        <w:left w:val="none" w:sz="0" w:space="0" w:color="auto"/>
        <w:bottom w:val="none" w:sz="0" w:space="0" w:color="auto"/>
        <w:right w:val="none" w:sz="0" w:space="0" w:color="auto"/>
      </w:divBdr>
      <w:divsChild>
        <w:div w:id="652373369">
          <w:marLeft w:val="0"/>
          <w:marRight w:val="0"/>
          <w:marTop w:val="0"/>
          <w:marBottom w:val="0"/>
          <w:divBdr>
            <w:top w:val="none" w:sz="0" w:space="0" w:color="auto"/>
            <w:left w:val="none" w:sz="0" w:space="0" w:color="auto"/>
            <w:bottom w:val="none" w:sz="0" w:space="0" w:color="auto"/>
            <w:right w:val="none" w:sz="0" w:space="0" w:color="auto"/>
          </w:divBdr>
        </w:div>
      </w:divsChild>
    </w:div>
    <w:div w:id="1861892783">
      <w:bodyDiv w:val="1"/>
      <w:marLeft w:val="0"/>
      <w:marRight w:val="0"/>
      <w:marTop w:val="0"/>
      <w:marBottom w:val="0"/>
      <w:divBdr>
        <w:top w:val="none" w:sz="0" w:space="0" w:color="auto"/>
        <w:left w:val="none" w:sz="0" w:space="0" w:color="auto"/>
        <w:bottom w:val="none" w:sz="0" w:space="0" w:color="auto"/>
        <w:right w:val="none" w:sz="0" w:space="0" w:color="auto"/>
      </w:divBdr>
    </w:div>
    <w:div w:id="1872302983">
      <w:bodyDiv w:val="1"/>
      <w:marLeft w:val="0"/>
      <w:marRight w:val="0"/>
      <w:marTop w:val="0"/>
      <w:marBottom w:val="0"/>
      <w:divBdr>
        <w:top w:val="none" w:sz="0" w:space="0" w:color="auto"/>
        <w:left w:val="none" w:sz="0" w:space="0" w:color="auto"/>
        <w:bottom w:val="none" w:sz="0" w:space="0" w:color="auto"/>
        <w:right w:val="none" w:sz="0" w:space="0" w:color="auto"/>
      </w:divBdr>
    </w:div>
    <w:div w:id="1877961720">
      <w:bodyDiv w:val="1"/>
      <w:marLeft w:val="0"/>
      <w:marRight w:val="0"/>
      <w:marTop w:val="0"/>
      <w:marBottom w:val="0"/>
      <w:divBdr>
        <w:top w:val="none" w:sz="0" w:space="0" w:color="auto"/>
        <w:left w:val="none" w:sz="0" w:space="0" w:color="auto"/>
        <w:bottom w:val="none" w:sz="0" w:space="0" w:color="auto"/>
        <w:right w:val="none" w:sz="0" w:space="0" w:color="auto"/>
      </w:divBdr>
    </w:div>
    <w:div w:id="1903322639">
      <w:bodyDiv w:val="1"/>
      <w:marLeft w:val="0"/>
      <w:marRight w:val="0"/>
      <w:marTop w:val="0"/>
      <w:marBottom w:val="0"/>
      <w:divBdr>
        <w:top w:val="none" w:sz="0" w:space="0" w:color="auto"/>
        <w:left w:val="none" w:sz="0" w:space="0" w:color="auto"/>
        <w:bottom w:val="none" w:sz="0" w:space="0" w:color="auto"/>
        <w:right w:val="none" w:sz="0" w:space="0" w:color="auto"/>
      </w:divBdr>
      <w:divsChild>
        <w:div w:id="1787657418">
          <w:marLeft w:val="0"/>
          <w:marRight w:val="0"/>
          <w:marTop w:val="0"/>
          <w:marBottom w:val="0"/>
          <w:divBdr>
            <w:top w:val="none" w:sz="0" w:space="0" w:color="auto"/>
            <w:left w:val="none" w:sz="0" w:space="0" w:color="auto"/>
            <w:bottom w:val="none" w:sz="0" w:space="0" w:color="auto"/>
            <w:right w:val="none" w:sz="0" w:space="0" w:color="auto"/>
          </w:divBdr>
        </w:div>
      </w:divsChild>
    </w:div>
    <w:div w:id="2022975592">
      <w:bodyDiv w:val="1"/>
      <w:marLeft w:val="0"/>
      <w:marRight w:val="0"/>
      <w:marTop w:val="0"/>
      <w:marBottom w:val="0"/>
      <w:divBdr>
        <w:top w:val="none" w:sz="0" w:space="0" w:color="auto"/>
        <w:left w:val="none" w:sz="0" w:space="0" w:color="auto"/>
        <w:bottom w:val="none" w:sz="0" w:space="0" w:color="auto"/>
        <w:right w:val="none" w:sz="0" w:space="0" w:color="auto"/>
      </w:divBdr>
      <w:divsChild>
        <w:div w:id="1986397020">
          <w:marLeft w:val="0"/>
          <w:marRight w:val="0"/>
          <w:marTop w:val="0"/>
          <w:marBottom w:val="0"/>
          <w:divBdr>
            <w:top w:val="none" w:sz="0" w:space="0" w:color="auto"/>
            <w:left w:val="none" w:sz="0" w:space="0" w:color="auto"/>
            <w:bottom w:val="none" w:sz="0" w:space="0" w:color="auto"/>
            <w:right w:val="none" w:sz="0" w:space="0" w:color="auto"/>
          </w:divBdr>
        </w:div>
      </w:divsChild>
    </w:div>
    <w:div w:id="2089691360">
      <w:bodyDiv w:val="1"/>
      <w:marLeft w:val="0"/>
      <w:marRight w:val="0"/>
      <w:marTop w:val="0"/>
      <w:marBottom w:val="0"/>
      <w:divBdr>
        <w:top w:val="none" w:sz="0" w:space="0" w:color="auto"/>
        <w:left w:val="none" w:sz="0" w:space="0" w:color="auto"/>
        <w:bottom w:val="none" w:sz="0" w:space="0" w:color="auto"/>
        <w:right w:val="none" w:sz="0" w:space="0" w:color="auto"/>
      </w:divBdr>
    </w:div>
    <w:div w:id="2121803483">
      <w:bodyDiv w:val="1"/>
      <w:marLeft w:val="0"/>
      <w:marRight w:val="0"/>
      <w:marTop w:val="0"/>
      <w:marBottom w:val="0"/>
      <w:divBdr>
        <w:top w:val="none" w:sz="0" w:space="0" w:color="auto"/>
        <w:left w:val="none" w:sz="0" w:space="0" w:color="auto"/>
        <w:bottom w:val="none" w:sz="0" w:space="0" w:color="auto"/>
        <w:right w:val="none" w:sz="0" w:space="0" w:color="auto"/>
      </w:divBdr>
    </w:div>
    <w:div w:id="2130588077">
      <w:bodyDiv w:val="1"/>
      <w:marLeft w:val="0"/>
      <w:marRight w:val="0"/>
      <w:marTop w:val="0"/>
      <w:marBottom w:val="0"/>
      <w:divBdr>
        <w:top w:val="none" w:sz="0" w:space="0" w:color="auto"/>
        <w:left w:val="none" w:sz="0" w:space="0" w:color="auto"/>
        <w:bottom w:val="none" w:sz="0" w:space="0" w:color="auto"/>
        <w:right w:val="none" w:sz="0" w:space="0" w:color="auto"/>
      </w:divBdr>
      <w:divsChild>
        <w:div w:id="432167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AC01CC-A88B-473D-B5D3-59CA7BE2AA5F}"/>
</file>

<file path=customXml/itemProps2.xml><?xml version="1.0" encoding="utf-8"?>
<ds:datastoreItem xmlns:ds="http://schemas.openxmlformats.org/officeDocument/2006/customXml" ds:itemID="{53A45735-1C56-4ACE-9D10-DDD800D1D172}"/>
</file>

<file path=customXml/itemProps3.xml><?xml version="1.0" encoding="utf-8"?>
<ds:datastoreItem xmlns:ds="http://schemas.openxmlformats.org/officeDocument/2006/customXml" ds:itemID="{BC09F089-52B2-4478-98CF-B3FBC64035FE}"/>
</file>

<file path=docProps/app.xml><?xml version="1.0" encoding="utf-8"?>
<Properties xmlns="http://schemas.openxmlformats.org/officeDocument/2006/extended-properties" xmlns:vt="http://schemas.openxmlformats.org/officeDocument/2006/docPropsVTypes">
  <Template>Normal.dotm</Template>
  <TotalTime>0</TotalTime>
  <Pages>30</Pages>
  <Words>9874</Words>
  <Characters>56287</Characters>
  <Application>Microsoft Office Word</Application>
  <DocSecurity>4</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Andrighetto (JHFMHN)</dc:creator>
  <cp:keywords/>
  <dc:description/>
  <cp:lastModifiedBy>BROOME, Lily</cp:lastModifiedBy>
  <cp:revision>2</cp:revision>
  <dcterms:created xsi:type="dcterms:W3CDTF">2026-09-02T04:47:00Z</dcterms:created>
  <dcterms:modified xsi:type="dcterms:W3CDTF">2026-09-02T04:47:00Z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2026-06-03T04:11:13Z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f4ccd93f-899c-4d91-ac90-9d20c4ea528e</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y fmtid="{D5CDD505-2E9C-101B-9397-08002B2CF9AE}" pid="10" name="ContentTypeId">
    <vt:lpwstr>0x010100FB7776D50AC9C9429F45CBB78018DFD0</vt:lpwstr>
  </property>
</Properties>
</file>