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D4A87" w14:textId="3DF82C40" w:rsidR="0023679E" w:rsidRDefault="00373CF5">
      <w:pPr>
        <w:rPr>
          <w:b/>
          <w:bCs/>
        </w:rPr>
      </w:pPr>
      <w:r w:rsidRPr="00373CF5">
        <w:rPr>
          <w:b/>
          <w:bCs/>
        </w:rPr>
        <w:t>Left Write Hook</w:t>
      </w:r>
    </w:p>
    <w:p w14:paraId="7AEC61AE" w14:textId="75DDC926" w:rsidR="00373CF5" w:rsidRDefault="00373CF5">
      <w:pPr>
        <w:rPr>
          <w:b/>
          <w:bCs/>
        </w:rPr>
      </w:pPr>
      <w:r w:rsidRPr="00373CF5">
        <w:rPr>
          <w:b/>
          <w:bCs/>
        </w:rPr>
        <w:t>Feedback for Priority Area 1: Victim-survivors</w:t>
      </w:r>
    </w:p>
    <w:p w14:paraId="2DE33E15" w14:textId="05376D1C" w:rsidR="00373CF5" w:rsidRDefault="00373CF5" w:rsidP="00373CF5">
      <w:r>
        <w:t>Left Write Hook recommends that the Second Action Plan recognise long-term recovery as core infrastructure, not an optional extra after crisis. Safety is essential, but victim-survivors also need pathways that support healing, agency, connection, embodiment and participation in community life over time.</w:t>
      </w:r>
    </w:p>
    <w:p w14:paraId="5CBB0C9F" w14:textId="3A6184CB" w:rsidR="00373CF5" w:rsidRDefault="00373CF5" w:rsidP="00373CF5">
      <w:r>
        <w:t>From Left Write Hook’s work with adult victim-survivors of child sexual abuse and gender-based violence, we see that many survivors are not looking for one single service response. They need an ecosystem of support: crisis and safety responses where needed, specialist sexual assault and family violence services, clinical care, justice and legal pathways, peer connection, creative expression, movement, and community-based recovery.</w:t>
      </w:r>
    </w:p>
    <w:p w14:paraId="435BE771" w14:textId="4A302D5F" w:rsidR="00373CF5" w:rsidRDefault="00373CF5" w:rsidP="00373CF5">
      <w:r>
        <w:t xml:space="preserve">Many survivors do not seek support earlier because services can feel clinical, inaccessible, costly, crisis-driven, culturally unsafe, or dependent on verbal disclosure and retelling. Others have been harmed, disbelieved or </w:t>
      </w:r>
      <w:proofErr w:type="spellStart"/>
      <w:r>
        <w:t>pathologised</w:t>
      </w:r>
      <w:proofErr w:type="spellEnd"/>
      <w:r>
        <w:t xml:space="preserve"> by systems. One participant described the significance of Left Write Hook simply: “Left Write Hook gave me a space where I could be believed. I’ve never felt there was a space where I could talk and others would listen to me without trying to change my narrative.”</w:t>
      </w:r>
    </w:p>
    <w:p w14:paraId="74029EEA" w14:textId="3549763F" w:rsidR="00373CF5" w:rsidRDefault="00373CF5" w:rsidP="00373CF5">
      <w:r>
        <w:t xml:space="preserve">This points to a critical service gap. Survivors need spaces where they are not required to prove, perform or retell trauma </w:t>
      </w:r>
      <w:proofErr w:type="gramStart"/>
      <w:r>
        <w:t>in order to</w:t>
      </w:r>
      <w:proofErr w:type="gramEnd"/>
      <w:r>
        <w:t xml:space="preserve"> be supported. They need relational, non-</w:t>
      </w:r>
      <w:proofErr w:type="spellStart"/>
      <w:r>
        <w:t>pathologising</w:t>
      </w:r>
      <w:proofErr w:type="spellEnd"/>
      <w:r>
        <w:t xml:space="preserve"> and survivor-led spaces where trauma can be held safely. As one participant said, “It isn’t therapy, but </w:t>
      </w:r>
      <w:proofErr w:type="gramStart"/>
      <w:r>
        <w:t>it</w:t>
      </w:r>
      <w:proofErr w:type="gramEnd"/>
      <w:r>
        <w:t xml:space="preserve"> [is] a space where you and your trauma can be held.” This does not replace clinical care; it complements it.</w:t>
      </w:r>
    </w:p>
    <w:p w14:paraId="03667425" w14:textId="5E4A1578" w:rsidR="00373CF5" w:rsidRDefault="00373CF5" w:rsidP="00373CF5">
      <w:r>
        <w:t xml:space="preserve">The Second Action Plan should therefore fund and recognise survivor-led, trauma-informed and research-informed recovery models that sit alongside crisis, clinical and justice responses. Left Write Hook’s model combines creative writing, non-contact boxing and peer connection. Participant feedback shows the importance of this combination. One participant described writing </w:t>
      </w:r>
      <w:proofErr w:type="gramStart"/>
      <w:r>
        <w:t>as a way to</w:t>
      </w:r>
      <w:proofErr w:type="gramEnd"/>
      <w:r>
        <w:t xml:space="preserve"> “process and ‘empty out’” feelings and experiences, while boxing helped with “burning off the excess emotion and using it constructively” and shifting focus back to the body.</w:t>
      </w:r>
    </w:p>
    <w:p w14:paraId="02AEF0D0" w14:textId="5B267A7A" w:rsidR="00373CF5" w:rsidRDefault="00373CF5" w:rsidP="00373CF5">
      <w:r>
        <w:t>This is particularly important because trauma is not only cognitive or verbal. Survivors repeatedly describe the value of body-based recovery. One participant stated: “No one ever taught me that I have to move the trauma out of my body…I have come further in 16 sessions of Left Write Hook than what I did in 20 years.” Another reflected that the program helped them discover “my body wasn’t weak” and that they could “speak my truth amongst a safe and caring community.”</w:t>
      </w:r>
    </w:p>
    <w:p w14:paraId="4EB9EEC8" w14:textId="6E358B03" w:rsidR="00373CF5" w:rsidRDefault="00373CF5" w:rsidP="00373CF5">
      <w:r>
        <w:lastRenderedPageBreak/>
        <w:t>Peer connection is also central. Survivors often carry shame, isolation and the belief that they are alone, even when they know the prevalence statistics. One participant explained that small groups changed this dynamic by creating “a greater feeling of worth, value, strength” and reassurance that “we are not all broken.” Another said the group made them feel “connected and seen” and that they wanted other survivors to feel “like they matter too.”</w:t>
      </w:r>
    </w:p>
    <w:p w14:paraId="7D3512A7" w14:textId="1722D320" w:rsidR="00373CF5" w:rsidRDefault="00373CF5" w:rsidP="00373CF5">
      <w:r>
        <w:t>The Second Action Plan should also recognise that long-term recovery can support safety and engagement with other systems. Left Write Hook participants have reported increased confidence, boundary-setting, community connection, return to work, advocacy and engagement with justice pathways. Participant reflections include: “Because of Left Write Hook I gained the confidence to re-enter the workforce,” “I felt supported enough to report my abuser,” “I found my voice,” and “I got the courage to report my abusers to the police.” These outcomes show that recovery work can be justice-adjacent without being a formal justice response.</w:t>
      </w:r>
    </w:p>
    <w:p w14:paraId="080B4A6F" w14:textId="2E0A2ECB" w:rsidR="00373CF5" w:rsidRDefault="00373CF5" w:rsidP="00373CF5">
      <w:r>
        <w:t>The Plan should address coercive control, technology-facilitated abuse and systems abuse, while recognising the cumulative impacts of childhood sexual abuse, family violence and institutional betrayal across the life course. For adult survivors of child sexual abuse, harm is often treated as “historic” even when its impacts are current and profound. Policy must recognise that childhood harm can shape adult safety, health, relationships, employment, parenting, trust, embodiment and help-seeking.</w:t>
      </w:r>
    </w:p>
    <w:p w14:paraId="2D4F355E" w14:textId="57B1F61D" w:rsidR="00373CF5" w:rsidRDefault="00373CF5" w:rsidP="00373CF5">
      <w:r>
        <w:t xml:space="preserve">The Second Action Plan should also address the needs of diverse communities through </w:t>
      </w:r>
      <w:proofErr w:type="gramStart"/>
      <w:r>
        <w:t>properly funded,</w:t>
      </w:r>
      <w:proofErr w:type="gramEnd"/>
      <w:r>
        <w:t xml:space="preserve"> culturally safe and community-led responses. Aboriginal and Torres Strait Islander responses must be led by Aboriginal and Torres Strait Islander people and organisations. More broadly, services must be accessible for disabled people, LGBTIQA+ people, culturally and racially marginalised communities, migrant and refugee communities, older women, young people, people in regional and remote areas, and people experiencing poverty, housing insecurity, mental health challenges or systems involvement.</w:t>
      </w:r>
    </w:p>
    <w:p w14:paraId="32AEF2B4" w14:textId="77777777" w:rsidR="00373CF5" w:rsidRDefault="00373CF5" w:rsidP="00373CF5">
      <w:r>
        <w:t xml:space="preserve">Victim-survivors need more than crisis response alone. They need multiple safe entry points, choice, dignity, long-term support and models that recognise the whole person. Programs like Left Write Hook show that healing can be creative, physical, relational and </w:t>
      </w:r>
      <w:proofErr w:type="gramStart"/>
      <w:r>
        <w:t>community-based</w:t>
      </w:r>
      <w:proofErr w:type="gramEnd"/>
      <w:r>
        <w:t>. This work should not be treated as peripheral or “soft”. Reclaiming voice challenges silence. Reconnecting with the body challenges the embodied impacts of violence. Building peer connection challenges shame and isolation. Strengthening agency supports safety, recovery and participation in community life.</w:t>
      </w:r>
    </w:p>
    <w:p w14:paraId="61B4CB52" w14:textId="6CB6D760" w:rsidR="00373CF5" w:rsidRPr="00373CF5" w:rsidRDefault="00373CF5" w:rsidP="00373CF5">
      <w:pPr>
        <w:rPr>
          <w:b/>
          <w:bCs/>
        </w:rPr>
      </w:pPr>
      <w:r w:rsidRPr="00373CF5">
        <w:rPr>
          <w:b/>
          <w:bCs/>
        </w:rPr>
        <w:t>Feedback for Priority Area 2: Prevention and early intervention</w:t>
      </w:r>
    </w:p>
    <w:p w14:paraId="0B1AB358" w14:textId="3D715C5C" w:rsidR="00373CF5" w:rsidRDefault="00373CF5" w:rsidP="00373CF5">
      <w:r>
        <w:lastRenderedPageBreak/>
        <w:t xml:space="preserve">Prevention must include survivor-led knowledge about how violence, silence, shame and disconnection are produced, maintained and interrupted. Left Write Hook’s work shows that creative, physical and relational programs can help shift some of the conditions that allow violence to </w:t>
      </w:r>
      <w:proofErr w:type="gramStart"/>
      <w:r>
        <w:t>continue:</w:t>
      </w:r>
      <w:proofErr w:type="gramEnd"/>
      <w:r>
        <w:t xml:space="preserve"> isolation, stigma, victim-blaming, disembodiment, secrecy, shame, lack of community accountability and limited public understanding of the long-term impacts of child sexual abuse and gender-based violence.</w:t>
      </w:r>
    </w:p>
    <w:p w14:paraId="48D30C60" w14:textId="40F11136" w:rsidR="00373CF5" w:rsidRDefault="00373CF5" w:rsidP="00373CF5">
      <w:r>
        <w:t>The biggest difference in preventing and ultimately ending violence would be sustained investment across the whole prevention continuum: primary prevention, early intervention, response, recovery and survivor-led social change. These areas are often treated separately, but they are connected. Recovery work can contribute to prevention when it supports survivors to reclaim voice, build agency, recognise harm, set boundaries, reconnect with their bodies, reduce shame and participate in community life.</w:t>
      </w:r>
    </w:p>
    <w:p w14:paraId="71546CD7" w14:textId="7B2E0BA5" w:rsidR="00373CF5" w:rsidRDefault="00373CF5" w:rsidP="00373CF5">
      <w:r>
        <w:t>This is reflected in Left Write Hook participant feedback. Survivors have described outcomes such as: “I found my voice,” “I can speak out to advocate for survivors and for change,” “I am more confident in setting boundaries,” “I can stand up and speak out to protect my daughter,” and “I found the courage to report my abusers to the police.” These are not only individual recovery outcomes. They show how survivor-led recovery can support help-seeking, advocacy, protection, community awareness and engagement with justice pathways.</w:t>
      </w:r>
    </w:p>
    <w:p w14:paraId="0F90BDDA" w14:textId="3081C0A3" w:rsidR="00373CF5" w:rsidRDefault="00373CF5" w:rsidP="00373CF5">
      <w:r>
        <w:t xml:space="preserve">Prevention also requires changing the social conditions that keep </w:t>
      </w:r>
      <w:proofErr w:type="gramStart"/>
      <w:r>
        <w:t>survivors</w:t>
      </w:r>
      <w:proofErr w:type="gramEnd"/>
      <w:r>
        <w:t xml:space="preserve"> silent and perpetrators protected. Many survivors do not disclose because of shame, fear, disbelief, family and community pressure, or the sense that society is uncomfortable hearing about child sexual abuse. One participant described how, after weeks of writing, boxing and sharing, they developed a sense that they would “not shy away from what happened” to them or what continues to happen to others, adding: “The shame is not mine, it’s theirs.” This is prevention-relevant work: shifting shame away from victim-survivors and towards the systems, cultures and behaviours that enable abuse.</w:t>
      </w:r>
    </w:p>
    <w:p w14:paraId="4EF0F594" w14:textId="7CC80541" w:rsidR="00373CF5" w:rsidRDefault="00373CF5" w:rsidP="00373CF5">
      <w:r>
        <w:t>Existing prevention efforts should be strengthened by bringing survivor-led knowledge into schools, workplaces, health services, sport, arts, community settings, justice contexts and digital spaces. These are the places where harmful attitudes can be noticed earlier, where disclosures may first occur, and where community norms are either challenged or reinforced. Prevention should not sit only in specialist crisis systems.</w:t>
      </w:r>
    </w:p>
    <w:p w14:paraId="534CA740" w14:textId="207E78DD" w:rsidR="00373CF5" w:rsidRDefault="00373CF5" w:rsidP="00373CF5">
      <w:r>
        <w:t xml:space="preserve">Left Write Hook’s film screenings and workplace engagement show that survivor-led storytelling can shift understanding and practice. Our multi-award-winning documentary, Left Write Hook, now streaming on Netflix Australia and New Zealand, </w:t>
      </w:r>
      <w:r>
        <w:lastRenderedPageBreak/>
        <w:t>follows survivors participating in the program and shows the impacts of complex trauma, as well as the role creativity, non-contact boxing and community can play in helping survivors reclaim voice, rewrite story and release what has been held in the body.</w:t>
      </w:r>
    </w:p>
    <w:p w14:paraId="5E6ED06A" w14:textId="2EEF7FA4" w:rsidR="00373CF5" w:rsidRDefault="00373CF5" w:rsidP="00373CF5">
      <w:r>
        <w:t xml:space="preserve">Workplace screening feedback shows the film can build understanding across professional and community settings. One attendee said: “Hearing stories from survivors has helped to better understand the personal impacts that trauma and CSA </w:t>
      </w:r>
      <w:proofErr w:type="gramStart"/>
      <w:r>
        <w:t>has</w:t>
      </w:r>
      <w:proofErr w:type="gramEnd"/>
      <w:r>
        <w:t xml:space="preserve"> on individuals. I feel more aware and able to understand better.” Another said they were reminded that “trauma sits in the body,” that “talk therapy isn’t helpful for everyone,” that “different modalities can be used to heal from trauma,” and that it is crucial for victim-survivors “to be heard and to regain their voice.”</w:t>
      </w:r>
    </w:p>
    <w:p w14:paraId="5ECCCF71" w14:textId="350089C0" w:rsidR="00373CF5" w:rsidRDefault="00373CF5" w:rsidP="00373CF5">
      <w:r>
        <w:t>This matters for prevention because communities, workplaces and services often do not recognise the signs, impacts or long-term consequences of violence until harm has escalated. Survivor-led education can help people understand trauma, shame, delayed disclosure, embodied impacts, the limits of purely verbal responses, and the importance of belief, choice and agency.</w:t>
      </w:r>
    </w:p>
    <w:p w14:paraId="74CB1193" w14:textId="70B1560D" w:rsidR="00373CF5" w:rsidRDefault="00373CF5" w:rsidP="00373CF5">
      <w:r>
        <w:t>We recommend the Second Action Plan to look to fund survivor-led organisations to contribute to prevention education, workforce training, community-based conversations and public awareness. This should include properly resourced co-design, remuneration, safeguarding, debriefing and support for lived experience contributors. Survivor voice should not be extracted for awareness campaigns without investment in survivor-led organisations and the conditions that make this work safe.</w:t>
      </w:r>
    </w:p>
    <w:p w14:paraId="781E6D77" w14:textId="5E3F1F9D" w:rsidR="00373CF5" w:rsidRDefault="00373CF5" w:rsidP="00373CF5">
      <w:r>
        <w:t>Promising prevention and early intervention approaches include programs that are practical, relational, embodied and evaluated. Left Write Hook participants describe the value of combining writing, movement and peer connection. One participant said writing helped them process and “empty out” feelings, while boxing helped them burn off excess emotion, shift focus to their body and use energy constructively. Another described the model as “a brilliant balance of the inner and reflective and the outer,” and said it felt validating, believable and held.</w:t>
      </w:r>
    </w:p>
    <w:p w14:paraId="226B08BA" w14:textId="36ACC3A5" w:rsidR="00373CF5" w:rsidRDefault="00373CF5" w:rsidP="00373CF5">
      <w:r>
        <w:t>Prevention should also build community connection. Isolation and secrecy are conditions in which violence thrives. Participants repeatedly describe the importance of being with others who “get it”, feeling less alone, and finding a community of survivors. One participant said the small group created “a greater feeling of worth, value, strength” and reassured them that “we are not all broken.” Another reflected that after talking to other participants, they realised they were not alone, that the group had “a sense of camaraderie,” and that being surrounded by people who “just get it” was central to giving themselves grace.</w:t>
      </w:r>
    </w:p>
    <w:p w14:paraId="028961C9" w14:textId="1CDA6337" w:rsidR="00373CF5" w:rsidRDefault="00373CF5" w:rsidP="00373CF5">
      <w:r>
        <w:lastRenderedPageBreak/>
        <w:t>Governments, schools, workplaces, online platforms and community organisations should be supported to recognise and respond to harmful attitudes and behaviours earlier. This includes education on consent, coercive control, grooming, victim-blaming, sexual entitlement, online misogyny, pornography, image-based abuse, deepfakes, stalking, technology-facilitated abuse and the ways perpetrators use shame, silence and credibility attacks to avoid accountability.</w:t>
      </w:r>
    </w:p>
    <w:p w14:paraId="1C49245A" w14:textId="011CF965" w:rsidR="00373CF5" w:rsidRDefault="00373CF5" w:rsidP="00373CF5">
      <w:r>
        <w:t>The Second Action Plan should also address harmful online environments as a prevention priority. Online misogyny, violent pornography, deepfakes, image-based abuse, coercive control, technology-facilitated abuse and grooming are not separate from family, domestic and sexual violence. They shape how people understand bodies, gender, power, humiliation, consent, sexuality, intimacy and control. Prevention must therefore engage seriously with digital culture and the platforms where harmful attitudes are normalised and amplified.</w:t>
      </w:r>
    </w:p>
    <w:p w14:paraId="68871458" w14:textId="4F9844F3" w:rsidR="00373CF5" w:rsidRDefault="00373CF5" w:rsidP="00373CF5">
      <w:r>
        <w:t>Early intervention must also include pathways for people who are beginning to recognise harm in their own relationships, families or communities. This includes bystanders, peers, colleagues, teachers, coaches, parents, young people and people concerned about their own behaviour. Communities need practical tools to identify warning signs, respond safely, avoid victim-blaming, make warm referrals and interrupt harmful behaviour without increasing risk.</w:t>
      </w:r>
    </w:p>
    <w:p w14:paraId="0A3F7F10" w14:textId="1F99ED08" w:rsidR="00373CF5" w:rsidRDefault="00373CF5" w:rsidP="00373CF5">
      <w:r>
        <w:t>Left Write Hook recommends that the Second Action Plan:</w:t>
      </w:r>
    </w:p>
    <w:p w14:paraId="40FA3D30" w14:textId="77777777" w:rsidR="00373CF5" w:rsidRDefault="00373CF5" w:rsidP="00373CF5">
      <w:r>
        <w:t>- fund survivor-led prevention education and workforce training;</w:t>
      </w:r>
    </w:p>
    <w:p w14:paraId="5B0A3300" w14:textId="77777777" w:rsidR="00373CF5" w:rsidRDefault="00373CF5" w:rsidP="00373CF5">
      <w:r>
        <w:t>- support creative, physical and relational approaches that build voice, agency, embodiment, connection and boundaries;</w:t>
      </w:r>
    </w:p>
    <w:p w14:paraId="31537BAA" w14:textId="77777777" w:rsidR="00373CF5" w:rsidRDefault="00373CF5" w:rsidP="00373CF5">
      <w:r>
        <w:t>- invest in community-based programs like Left Write Hook that reduce shame, isolation and silence;</w:t>
      </w:r>
    </w:p>
    <w:p w14:paraId="6ABBFB7A" w14:textId="77777777" w:rsidR="00373CF5" w:rsidRDefault="00373CF5" w:rsidP="00373CF5">
      <w:r>
        <w:t>- embed prevention and early intervention in schools, sport, arts, workplaces, health, justice, digital and community settings;</w:t>
      </w:r>
    </w:p>
    <w:p w14:paraId="48AB658A" w14:textId="77777777" w:rsidR="00373CF5" w:rsidRDefault="00373CF5" w:rsidP="00373CF5">
      <w:r>
        <w:t>- address technology-facilitated abuse, online misogyny, pornography, deepfakes, image-based abuse and coercive control as prevention issues;</w:t>
      </w:r>
    </w:p>
    <w:p w14:paraId="72634063" w14:textId="77777777" w:rsidR="00373CF5" w:rsidRDefault="00373CF5" w:rsidP="00373CF5">
      <w:r>
        <w:t>- evaluate prevention approaches using both behavioural and survivor-defined outcomes;</w:t>
      </w:r>
    </w:p>
    <w:p w14:paraId="6ACE10A0" w14:textId="6F27072C" w:rsidR="00373CF5" w:rsidRDefault="00373CF5" w:rsidP="00373CF5">
      <w:r>
        <w:t>- resource lived experience leadership safely, ethically and sustainably.</w:t>
      </w:r>
    </w:p>
    <w:p w14:paraId="4EC22968" w14:textId="77777777" w:rsidR="00373CF5" w:rsidRDefault="00373CF5" w:rsidP="00373CF5">
      <w:r>
        <w:t xml:space="preserve">Prevention must be practical, embodied, evaluated and driven by lived experience expertise. It should not only tell people that violence is wrong. It must build the conditions in which violence is recognised earlier, harmful attitudes are challenged, </w:t>
      </w:r>
      <w:r>
        <w:lastRenderedPageBreak/>
        <w:t>survivors are believed, people using violence are held accountable, and communities know how to respond.</w:t>
      </w:r>
    </w:p>
    <w:p w14:paraId="731D2442" w14:textId="23DB2FF3" w:rsidR="00373CF5" w:rsidRPr="00373CF5" w:rsidRDefault="00373CF5" w:rsidP="00373CF5">
      <w:pPr>
        <w:rPr>
          <w:b/>
          <w:bCs/>
        </w:rPr>
      </w:pPr>
      <w:r w:rsidRPr="00373CF5">
        <w:rPr>
          <w:b/>
          <w:bCs/>
        </w:rPr>
        <w:t>Feedback for Priority Area 3: Children and young people in their own right</w:t>
      </w:r>
    </w:p>
    <w:p w14:paraId="615BB467" w14:textId="2ACB46B5" w:rsidR="00373CF5" w:rsidRDefault="00373CF5" w:rsidP="00373CF5">
      <w:r>
        <w:t>Left Write Hook works predominantly with adults, many of whom are living with the lifelong impacts of childhood sexual abuse, family violence, coercive control and institutional betrayal. From this perspective, one of the clearest lessons from our work is that childhood harm does not end when childhood ends. When violence, abuse or coercive control is not recognised, believed or responded to safely in childhood, its impacts can continue across the life course, shaping mental health, relationships, education, employment, embodiment, trust, identity, parenting, help-seeking and connection to community.</w:t>
      </w:r>
    </w:p>
    <w:p w14:paraId="1AD4EF18" w14:textId="536467E4" w:rsidR="00373CF5" w:rsidRDefault="00373CF5" w:rsidP="00373CF5">
      <w:r>
        <w:t xml:space="preserve">The Second Action Plan must recognise children and young people as </w:t>
      </w:r>
      <w:proofErr w:type="gramStart"/>
      <w:r>
        <w:t>victim-survivors in their own right, not</w:t>
      </w:r>
      <w:proofErr w:type="gramEnd"/>
      <w:r>
        <w:t xml:space="preserve"> only as witnesses to violence, extensions of a protective parent, or future adults who may later need support. This requires a shift in policy, systems and practice. Children and young people need responses that recognise their present safety and wellbeing, while also understanding the long-term effects of trauma, shame, secrecy, grooming, betrayal and disconnection and co-morbid symptomology.</w:t>
      </w:r>
    </w:p>
    <w:p w14:paraId="76629F5C" w14:textId="4DF2835F" w:rsidR="00373CF5" w:rsidRDefault="00373CF5" w:rsidP="00373CF5">
      <w:r>
        <w:t>A major gap in current responses is the assumption that children and young people will disclose harm clearly, verbally, consistently or in a linear way. Many children do not have the language, developmental capacity, safety, trust or social permission to describe what has happened to them. Their memories may be fragmented. Their distress may show up through behaviour, withdrawal, dissociation, anger, anxiety, self-blame, school refusal, risk-taking, bodily distress, changes in peer relationships, or difficulty with attention and learning. Their distress may show up in perfectionism and overachieving or being 'good'. If systems are only designed to respond to direct verbal disclosure, many children will continue to be missed.</w:t>
      </w:r>
    </w:p>
    <w:p w14:paraId="52E0985A" w14:textId="6BA6C2C7" w:rsidR="00373CF5" w:rsidRDefault="00373CF5" w:rsidP="00373CF5">
      <w:r>
        <w:t>For this reason, the Second Action Plan should invest in multidimensional ways for children and young people to express, process and recover from violence and harm. Recovery pathways should not depend on a child being able to retell their trauma. Creative, relational, play-based, cultural, peer, movement and body-based practices can provide ways for children and young people to safely explore emotion, agency, boundaries, identity and connection without being forced into premature verbal disclosure or repeated retelling. This is particularly important for children and young people affected by sexual violence, family violence, coercive control, technology-facilitated abuse and grooming, where shame and fear often silence direct disclosure.</w:t>
      </w:r>
    </w:p>
    <w:p w14:paraId="28A0FCF3" w14:textId="778B4260" w:rsidR="00373CF5" w:rsidRDefault="00373CF5" w:rsidP="00373CF5">
      <w:r>
        <w:t xml:space="preserve">Left Write Hook’s work with adult survivors demonstrates the importance of restoring voice, body, agency and belonging. Although our core program is for adults, the principles are highly relevant to children and young people. Creative writing, </w:t>
      </w:r>
      <w:r>
        <w:lastRenderedPageBreak/>
        <w:t>storytelling, non-contact trauma-informed boxing, movement, facilitated reflection and peer connection can support expression and recovery in ways that are not solely clinical or verbal. For children and young people, age-appropriate creative and body-based practices may help them build emotional literacy, recognise boundaries, reconnect with their bodies, experience safe power, practise choice, and develop a sense of agency.</w:t>
      </w:r>
    </w:p>
    <w:p w14:paraId="0E5BD946" w14:textId="347E6745" w:rsidR="00373CF5" w:rsidRDefault="00373CF5" w:rsidP="00373CF5">
      <w:r>
        <w:t>This does not mean replacing specialist therapeutic, family violence, child protection, sexual assault or justice responses. Rather, it means expanding the ecosystem of support so that children and young people have multiple safe pathways into recognition, recovery and care. Schools, sport, arts, youth services, health services, digital platforms and community organisations all have a role to play. The Plan should fund partnerships between specialist services and community-based programs so that innovation can occur safely, with appropriate safeguarding, referral pathways, clinical consultation, cultural safety and risk management.</w:t>
      </w:r>
    </w:p>
    <w:p w14:paraId="62F6E575" w14:textId="704C886C" w:rsidR="00373CF5" w:rsidRDefault="00373CF5" w:rsidP="00373CF5">
      <w:r>
        <w:t xml:space="preserve">Education settings are particularly important. Teachers, school wellbeing staff, youth workers and coaches often see the signs of distress before specialist systems do. They need training to recognise trauma responses without </w:t>
      </w:r>
      <w:proofErr w:type="spellStart"/>
      <w:r>
        <w:t>pathologising</w:t>
      </w:r>
      <w:proofErr w:type="spellEnd"/>
      <w:r>
        <w:t xml:space="preserve"> children or blaming families. They also need clear referral pathways and support to respond safely when a child is not ready or able to disclose. The Plan should support schools and youth settings to move beyond one-off awareness sessions towards embedded cultures of safety, consent, respect, emotional literacy and help-seeking.</w:t>
      </w:r>
    </w:p>
    <w:p w14:paraId="4E919D85" w14:textId="431A8694" w:rsidR="00373CF5" w:rsidRDefault="00373CF5" w:rsidP="00373CF5">
      <w:r>
        <w:t xml:space="preserve">Children and young people affected by violence also need responses that account for coercive control. This includes recognising the ways perpetrators may use children as tools of control, manipulate attachment, undermine a child’s relationship with a protective parent, monitor digital communication, threaten pets or siblings, control finances and housing, or </w:t>
      </w:r>
      <w:proofErr w:type="spellStart"/>
      <w:r>
        <w:t>weaponise</w:t>
      </w:r>
      <w:proofErr w:type="spellEnd"/>
      <w:r>
        <w:t xml:space="preserve"> systems such as family law, child protection and schools. Children are not passive witnesses to coercive control; they are often directly harmed by it.</w:t>
      </w:r>
    </w:p>
    <w:p w14:paraId="2678CDC2" w14:textId="6BA9B29B" w:rsidR="00373CF5" w:rsidRDefault="00373CF5" w:rsidP="00373CF5">
      <w:r>
        <w:t>The Second Action Plan should also respond to current and emerging forms of harm affecting children and young people, including technology-facilitated abuse, harmful online content, violent pornography, image-based abuse, deepfakes, online grooming, misogynistic influencer cultures, peer sexual harassment and violence within dating relationships. These harms are not separate from family, domestic and sexual violence. They shape how young people understand bodies, power, consent, gender, sexuality, humiliation, intimacy and control. Prevention and early intervention must therefore engage seriously with the digital environments where children and young people are learning about relationships and identity.</w:t>
      </w:r>
    </w:p>
    <w:p w14:paraId="080C776E" w14:textId="6835D227" w:rsidR="00373CF5" w:rsidRDefault="00373CF5" w:rsidP="00373CF5">
      <w:r>
        <w:t xml:space="preserve">For young people who are using violence or displaying harmful sexual behaviours, responses must combine accountability, safety and developmental understanding. </w:t>
      </w:r>
      <w:r>
        <w:lastRenderedPageBreak/>
        <w:t>Shame-based or purely punitive responses can drive behaviour underground and reduce opportunities for change, while minimising or excusing harm places other children and young people at risk. The Plan should invest in specialist, evidence-informed responses that address behaviour early, involve families and communities where safe, and centre the safety and recovery of those harmed. Responses should also distinguish between age-expected sexual curiosity, trauma-reactive behaviour, harmful sexual behaviour, coercion and abuse, rather than collapsing these into one category.</w:t>
      </w:r>
    </w:p>
    <w:p w14:paraId="1A898304" w14:textId="73CC0718" w:rsidR="00373CF5" w:rsidRDefault="00373CF5" w:rsidP="00373CF5">
      <w:r>
        <w:t>Children and young people must be meaningfully involved in shaping the policies, programs and services that affect them. This requires more than consultation after decisions have already been made. Young people should be involved in co-designing prevention resources, digital safety campaigns, school-based responses, disclosure pathways, youth recovery programs and peer education models. Their involvement must be safe, supported, paid where appropriate, and inclusive of young people from diverse communities, including Aboriginal and Torres Strait Islander young people, disabled young people, LGBTIQA+ young people, culturally and racially marginalised young people, young people in out-of-home care, young people in regional and remote communities, and young people with lived experience of violence.</w:t>
      </w:r>
    </w:p>
    <w:p w14:paraId="009A3789" w14:textId="75391741" w:rsidR="00373CF5" w:rsidRDefault="00373CF5" w:rsidP="00373CF5">
      <w:r>
        <w:t>We recommend the Second Action Plan prioritise:</w:t>
      </w:r>
    </w:p>
    <w:p w14:paraId="37512876" w14:textId="77777777" w:rsidR="00373CF5" w:rsidRDefault="00373CF5" w:rsidP="00373CF5">
      <w:r>
        <w:t>- recognising children and young people as victim-survivors in their own right;</w:t>
      </w:r>
    </w:p>
    <w:p w14:paraId="3F89F85B" w14:textId="77777777" w:rsidR="00373CF5" w:rsidRDefault="00373CF5" w:rsidP="00373CF5">
      <w:r>
        <w:t>- funding long-term, age-appropriate recovery pathways, not only crisis responses;</w:t>
      </w:r>
    </w:p>
    <w:p w14:paraId="2B0996EC" w14:textId="77777777" w:rsidR="00373CF5" w:rsidRDefault="00373CF5" w:rsidP="00373CF5">
      <w:r>
        <w:t>- supporting creative, relational, cultural and body-based approaches that do not require linear retelling;</w:t>
      </w:r>
    </w:p>
    <w:p w14:paraId="29EFA9BD" w14:textId="77777777" w:rsidR="00373CF5" w:rsidRDefault="00373CF5" w:rsidP="00373CF5">
      <w:r>
        <w:t>- strengthening capability in schools, sport, arts, health, youth and digital settings to recognise and respond to harm;</w:t>
      </w:r>
    </w:p>
    <w:p w14:paraId="6A4F6E81" w14:textId="77777777" w:rsidR="00373CF5" w:rsidRDefault="00373CF5" w:rsidP="00373CF5">
      <w:r>
        <w:t>- addressing coercive control and technology-facilitated abuse as direct harms to children and young people;</w:t>
      </w:r>
    </w:p>
    <w:p w14:paraId="044F4992" w14:textId="77777777" w:rsidR="00373CF5" w:rsidRDefault="00373CF5" w:rsidP="00373CF5">
      <w:r>
        <w:t>- investing in specialist responses to harmful sexual behaviours and young people using violence;</w:t>
      </w:r>
    </w:p>
    <w:p w14:paraId="70C61F6E" w14:textId="77777777" w:rsidR="00373CF5" w:rsidRDefault="00373CF5" w:rsidP="00373CF5">
      <w:r>
        <w:t>- ensuring children and young people shape the services, policies and prevention efforts designed for them;</w:t>
      </w:r>
    </w:p>
    <w:p w14:paraId="476BB6F4" w14:textId="2A3E1C6A" w:rsidR="00373CF5" w:rsidRDefault="00373CF5" w:rsidP="00373CF5">
      <w:r>
        <w:t>- building stronger bridges between child sexual abuse, family violence, sexual violence, mental health, education, youth justice and child protection systems.</w:t>
      </w:r>
    </w:p>
    <w:p w14:paraId="1BEDCD60" w14:textId="77777777" w:rsidR="00373CF5" w:rsidRDefault="00373CF5" w:rsidP="00373CF5">
      <w:r>
        <w:t xml:space="preserve">The biggest difference would be a system that does not wait for children and young people to disclose perfectly before it responds. Children and young people need adults, services and communities that can notice distress, create safety, offer multiple forms of expression, and support recovery over time. They need pathways that understand </w:t>
      </w:r>
      <w:r>
        <w:lastRenderedPageBreak/>
        <w:t xml:space="preserve">trauma is held not only in words, but also in bodies, relationships, behaviours, silence and story. The Second Action Plan has an opportunity to build a more responsive, developmentally informed and genuinely child-centred system, one that recognises harm earlier and supports healing in ways children and young people can </w:t>
      </w:r>
      <w:proofErr w:type="gramStart"/>
      <w:r>
        <w:t>actually access</w:t>
      </w:r>
      <w:proofErr w:type="gramEnd"/>
      <w:r>
        <w:t>.</w:t>
      </w:r>
    </w:p>
    <w:p w14:paraId="6A38C1E2" w14:textId="61A53F08" w:rsidR="00373CF5" w:rsidRPr="00373CF5" w:rsidRDefault="00373CF5" w:rsidP="00373CF5">
      <w:pPr>
        <w:rPr>
          <w:b/>
          <w:bCs/>
        </w:rPr>
      </w:pPr>
      <w:r w:rsidRPr="00373CF5">
        <w:rPr>
          <w:b/>
          <w:bCs/>
        </w:rPr>
        <w:t>Feedback for Priority Area 4: People who use violence</w:t>
      </w:r>
    </w:p>
    <w:p w14:paraId="32BEFF60" w14:textId="1B6FFF8F" w:rsidR="00373CF5" w:rsidRDefault="00373CF5" w:rsidP="00373CF5">
      <w:r>
        <w:t>Left Write Hook’s primary expertise is with victim-survivor recovery. From this perspective, responses to people who use violence must be designed around victim-survivor safety, accountability and the prevention of further harm. The effectiveness of any perpetrator response should be measured not only by whether a person using violence completes a program, but by whether victim-survivors are safer, more believed, less isolated and better protected from ongoing harm.</w:t>
      </w:r>
    </w:p>
    <w:p w14:paraId="1ACF39EA" w14:textId="32ABC8C6" w:rsidR="00373CF5" w:rsidRDefault="00373CF5" w:rsidP="00373CF5">
      <w:r>
        <w:t>The Second Action Plan should strengthen early recognition of people using violence across health, education, workplaces, sporting clubs, faith settings, child protection, justice, family services, digital platforms and community environments. Many people who use violence are visible to systems long before escalation. However, systems often respond to isolated incidents rather than patterns. They may miss grooming, coercion, intimidation, sexual entitlement, stalking, financial control, humiliation, image-based abuse, technology-facilitated abuse, threats, reputational attacks, systems abuse and escalating boundary violations.</w:t>
      </w:r>
    </w:p>
    <w:p w14:paraId="23321D88" w14:textId="034213C6" w:rsidR="00373CF5" w:rsidRDefault="00373CF5" w:rsidP="00373CF5">
      <w:r>
        <w:t>From Left Write Hook’s work with survivors, we know that harm is cumulative, patterned and relational. Survivors rarely describe single incidents of abuse, but long periods of being groomed, silenced, discredited, blamed, monitored, isolated, coerced and controlled. Many also describe being harmed by the responses of systems, families, workplaces or communities that minimised the abuse, questioned their credibility, focused on their distress rather than the perpetrator’s behaviour, or treated both parties as equally responsible for the harm.</w:t>
      </w:r>
    </w:p>
    <w:p w14:paraId="26C1182F" w14:textId="18FD3D1E" w:rsidR="00373CF5" w:rsidRDefault="00373CF5" w:rsidP="00373CF5">
      <w:r>
        <w:t>The biggest difference in preventing and responding earlier to the use of violence would be a much stronger capability across systems to recognise patterns of abuse. This includes education about grooming behaviours, coercive control, sexual violence, technology-facilitated abuse, institutional betrayal and the tactics used to discredit victim-survivors. Workforces need to understand how people who use violence may present as reasonable, charming, distressed, helpful or victimised, while framing the victim-survivor as unstable, vindictive, unreliable, mentally unwell or difficult. Without this capability, systems can unintentionally collude with abuse.</w:t>
      </w:r>
    </w:p>
    <w:p w14:paraId="491CD41C" w14:textId="461E657E" w:rsidR="00373CF5" w:rsidRDefault="00373CF5" w:rsidP="00373CF5">
      <w:r>
        <w:t>The Plan should invest in training across universal and specialist settings on:</w:t>
      </w:r>
    </w:p>
    <w:p w14:paraId="72022331" w14:textId="77777777" w:rsidR="00373CF5" w:rsidRDefault="00373CF5" w:rsidP="00373CF5">
      <w:r>
        <w:t>- grooming patterns and escalating boundary violations;</w:t>
      </w:r>
    </w:p>
    <w:p w14:paraId="570CF3A7" w14:textId="77777777" w:rsidR="00373CF5" w:rsidRDefault="00373CF5" w:rsidP="00373CF5">
      <w:r>
        <w:lastRenderedPageBreak/>
        <w:t>- coercive control and non-physical forms of violence;</w:t>
      </w:r>
    </w:p>
    <w:p w14:paraId="26EC3A64" w14:textId="77777777" w:rsidR="00373CF5" w:rsidRDefault="00373CF5" w:rsidP="00373CF5">
      <w:r>
        <w:t>- sexual violence, entitlement, secrecy and shame;</w:t>
      </w:r>
    </w:p>
    <w:p w14:paraId="4F88D74F" w14:textId="77777777" w:rsidR="00373CF5" w:rsidRDefault="00373CF5" w:rsidP="00373CF5">
      <w:r>
        <w:t>- victim-blaming and myths about credibility, memory, trauma and delayed disclosure;</w:t>
      </w:r>
    </w:p>
    <w:p w14:paraId="4FB8C864" w14:textId="77777777" w:rsidR="00373CF5" w:rsidRDefault="00373CF5" w:rsidP="00373CF5">
      <w:r>
        <w:t xml:space="preserve">- tactics used to discredit victim-survivors, including reputational harm, DARVO-style responses, counter-allegations and </w:t>
      </w:r>
      <w:proofErr w:type="spellStart"/>
      <w:r>
        <w:t>weaponising</w:t>
      </w:r>
      <w:proofErr w:type="spellEnd"/>
      <w:r>
        <w:t xml:space="preserve"> mental health;</w:t>
      </w:r>
    </w:p>
    <w:p w14:paraId="7EEC843C" w14:textId="77777777" w:rsidR="00373CF5" w:rsidRDefault="00373CF5" w:rsidP="00373CF5">
      <w:r>
        <w:t>- systems abuse, including misuse of courts, child protection, complaints processes, institutions and digital platforms;</w:t>
      </w:r>
    </w:p>
    <w:p w14:paraId="5299DED1" w14:textId="77777777" w:rsidR="00373CF5" w:rsidRDefault="00373CF5" w:rsidP="00373CF5">
      <w:r>
        <w:t>- technology-facilitated abuse, stalking, surveillance, image-based abuse and online harassment;</w:t>
      </w:r>
    </w:p>
    <w:p w14:paraId="7405DCDA" w14:textId="77777777" w:rsidR="00373CF5" w:rsidRDefault="00373CF5" w:rsidP="00373CF5">
      <w:r>
        <w:t>- unconscious bias, including racism, sexism, ableism, class bias, homophobia, transphobia and assumptions about who is seen as “credible” or “safe”;</w:t>
      </w:r>
    </w:p>
    <w:p w14:paraId="50352BBB" w14:textId="17286918" w:rsidR="00373CF5" w:rsidRDefault="00373CF5" w:rsidP="00373CF5">
      <w:r>
        <w:t>- the ways trauma responses can be misread as non-compliance, inconsistency, unreliability, hysteria or hostility.</w:t>
      </w:r>
    </w:p>
    <w:p w14:paraId="5C83C21B" w14:textId="04547ACA" w:rsidR="00373CF5" w:rsidRDefault="00373CF5" w:rsidP="00373CF5">
      <w:r>
        <w:t xml:space="preserve">Responses to people who use violence must also avoid placing additional burdens on victim-survivors to prove patterns that systems should be trained to identify. Too often, survivors are expected to document, explain and relive harm </w:t>
      </w:r>
      <w:proofErr w:type="gramStart"/>
      <w:r>
        <w:t>in order to</w:t>
      </w:r>
      <w:proofErr w:type="gramEnd"/>
      <w:r>
        <w:t xml:space="preserve"> be believed. This can intensify trauma and increase risk. Systems should be designed to notice patterns earlier, share information appropriately, and respond to perpetrator behaviour without requiring victim-survivors to carry the whole evidentiary load.</w:t>
      </w:r>
    </w:p>
    <w:p w14:paraId="1AE889FD" w14:textId="37F74C48" w:rsidR="00373CF5" w:rsidRDefault="00373CF5" w:rsidP="00373CF5">
      <w:r>
        <w:t>The Second Action Plan should prioritise nationally consistent, evidence-informed behaviour change standards, with clear expectations around accountability, risk assessment, victim-survivor safety and information sharing. Perpetrator interventions must not be treated as generic wellbeing programs. They require skilled workforces that can challenge minimisation, entitlement, denial, manipulation, coercion and blame-shifting while maintaining a clear focus on the safety and recovery of victim-survivors.</w:t>
      </w:r>
    </w:p>
    <w:p w14:paraId="03B36B15" w14:textId="25364923" w:rsidR="00373CF5" w:rsidRDefault="00373CF5" w:rsidP="00373CF5">
      <w:r>
        <w:t>Sexual violence requires distinct attention. It should not be folded too easily into family violence perpetrator responses. Sexual violence involves grooming, secrecy, entitlement, shame, fear, dissociation, delayed disclosure, social myths and credibility attacks that continue to discredit victim-survivors. Responses to people who use sexual violence must be specialist, evidence-informed and capable of addressing both contact and non-contact offending, including image-based abuse, online exploitation, coercion, pornography-related harms, sexual harassment and harmful sexual behaviours.</w:t>
      </w:r>
    </w:p>
    <w:p w14:paraId="7BECA0BA" w14:textId="2EA09B88" w:rsidR="00373CF5" w:rsidRDefault="00373CF5" w:rsidP="00373CF5">
      <w:r>
        <w:t xml:space="preserve">The Plan should also strengthen responses to young people using violence or displaying harmful sexual behaviours. These responses must combine accountability, safety and developmental understanding. Shame-based or purely punitive responses can drive behaviour underground, while minimisation places others at risk. The focus should be </w:t>
      </w:r>
      <w:r>
        <w:lastRenderedPageBreak/>
        <w:t>early, specialist, proportionate and trauma-informed intervention that addresses behaviour, context, consent, power, gender, digital harms, peer culture and family or community dynamics.</w:t>
      </w:r>
    </w:p>
    <w:p w14:paraId="6AF2AAA2" w14:textId="627B85BF" w:rsidR="00373CF5" w:rsidRDefault="00373CF5" w:rsidP="00373CF5">
      <w:r>
        <w:t>Culturally safe and accessible responses are essential. Aboriginal and Torres Strait Islander communities must lead the design and delivery of responses that are grounded in self-determination, cultural authority, healing, accountability and community safety. Responses must also be tailored for culturally and racially marginalised communities, disabled people, LGBTIQA+ communities, people in rural and regional areas, young people, older people and people experiencing poverty, housing insecurity or systems involvement. A one-size-fits-all perpetrator response will not work.</w:t>
      </w:r>
    </w:p>
    <w:p w14:paraId="76135112" w14:textId="37C6EC52" w:rsidR="00373CF5" w:rsidRDefault="00373CF5" w:rsidP="00373CF5">
      <w:r>
        <w:t>To summarise, the Plan should further prioritise:</w:t>
      </w:r>
    </w:p>
    <w:p w14:paraId="5E1A05AA" w14:textId="77777777" w:rsidR="00373CF5" w:rsidRDefault="00373CF5" w:rsidP="00373CF5">
      <w:r>
        <w:t>- nationally consistent, evidence-informed behaviour change standards;</w:t>
      </w:r>
    </w:p>
    <w:p w14:paraId="27583AC7" w14:textId="77777777" w:rsidR="00373CF5" w:rsidRDefault="00373CF5" w:rsidP="00373CF5">
      <w:r>
        <w:t>- specialist responses to sexual violence, coercive control, stalking and technology-facilitated abuse;</w:t>
      </w:r>
    </w:p>
    <w:p w14:paraId="7ED3ACF8" w14:textId="77777777" w:rsidR="00373CF5" w:rsidRDefault="00373CF5" w:rsidP="00373CF5">
      <w:r>
        <w:t>- stronger recognition of grooming, credibility attacks, victim-blaming and systems abuse;</w:t>
      </w:r>
    </w:p>
    <w:p w14:paraId="199FADA4" w14:textId="77777777" w:rsidR="00373CF5" w:rsidRDefault="00373CF5" w:rsidP="00373CF5">
      <w:r>
        <w:t>- training to identify patterns of behaviour rather than isolated incidents;</w:t>
      </w:r>
    </w:p>
    <w:p w14:paraId="1DD536AF" w14:textId="77777777" w:rsidR="00373CF5" w:rsidRDefault="00373CF5" w:rsidP="00373CF5">
      <w:r>
        <w:t>- bias training for police, courts, child protection, health, education, workplaces and community services;</w:t>
      </w:r>
    </w:p>
    <w:p w14:paraId="179FA3B4" w14:textId="77777777" w:rsidR="00373CF5" w:rsidRDefault="00373CF5" w:rsidP="00373CF5">
      <w:r>
        <w:t>- culturally safe, community-led responses for Aboriginal and Torres Strait Islander communities;</w:t>
      </w:r>
    </w:p>
    <w:p w14:paraId="6257F8D8" w14:textId="77777777" w:rsidR="00373CF5" w:rsidRDefault="00373CF5" w:rsidP="00373CF5">
      <w:r>
        <w:t>- tailored responses for young people using violence or harmful sexual behaviours;</w:t>
      </w:r>
    </w:p>
    <w:p w14:paraId="63F2691B" w14:textId="77777777" w:rsidR="00373CF5" w:rsidRDefault="00373CF5" w:rsidP="00373CF5">
      <w:r>
        <w:t>- workforce capability to avoid collusion, minimisation and false equivalence;</w:t>
      </w:r>
    </w:p>
    <w:p w14:paraId="3F5BD7B6" w14:textId="6564C9E6" w:rsidR="00373CF5" w:rsidRDefault="00373CF5" w:rsidP="00373CF5">
      <w:r>
        <w:t>- clear consequences where harm continues.</w:t>
      </w:r>
    </w:p>
    <w:p w14:paraId="62CE1F54" w14:textId="66A25AAA" w:rsidR="00373CF5" w:rsidRDefault="00373CF5" w:rsidP="00373CF5">
      <w:r>
        <w:t>Accountability is not only individual. Institutions, communities, workplaces, sporting organisations, services and digital platforms also have responsibilities to identify, interrupt and prevent harm. They need to understand how perpetrators use social power, institutional trust, professional status, family systems, online platforms and community reputation to continue abuse or avoid accountability.</w:t>
      </w:r>
    </w:p>
    <w:p w14:paraId="36251785" w14:textId="77777777" w:rsidR="00373CF5" w:rsidRDefault="00373CF5" w:rsidP="00373CF5">
      <w:r>
        <w:t>Survivor safety must remain the central measure of whether responses to people who use violence are effective. This means listening to victim-survivors, recognising patterns, intervening earlier, challenging minimisation and ensuring that systems do not become another tool through which harm is continued.</w:t>
      </w:r>
    </w:p>
    <w:p w14:paraId="61D9A64C" w14:textId="7C90A24F" w:rsidR="00373CF5" w:rsidRPr="00373CF5" w:rsidRDefault="00373CF5" w:rsidP="00373CF5">
      <w:pPr>
        <w:rPr>
          <w:b/>
          <w:bCs/>
        </w:rPr>
      </w:pPr>
      <w:r w:rsidRPr="00373CF5">
        <w:rPr>
          <w:b/>
          <w:bCs/>
        </w:rPr>
        <w:t>Feedback for Priority Area 5: System Integration and Workforce</w:t>
      </w:r>
    </w:p>
    <w:p w14:paraId="209C8317" w14:textId="480423AE" w:rsidR="00373CF5" w:rsidRDefault="00373CF5" w:rsidP="00373CF5">
      <w:r>
        <w:lastRenderedPageBreak/>
        <w:t>We recommend the Second Action Plan to prioritise system integration across the full continuum of prevention, early intervention, crisis response, justice, recovery and long-term healing. Too often, recovery is treated as what happens after the “real” system response. From Left Write Hook’s practice and research, we know recovery is central to safety, wellbeing, prevention and justice. A system that only responds at crisis point will continue to miss the long-term and cumulative impacts of family, domestic and sexual violence, child sexual abuse and other forms of gender-based violence.</w:t>
      </w:r>
    </w:p>
    <w:p w14:paraId="39C60D31" w14:textId="411B86F1" w:rsidR="00373CF5" w:rsidRDefault="00373CF5" w:rsidP="00373CF5">
      <w:r>
        <w:t>The biggest difference would be a more connected system in which victim-survivors are not left to coordinate their own recovery across multiple disconnected services. Adult survivors of child sexual abuse and gender-based violence often move between mental health, sexual assault services, family violence services, housing, justice, redress, child protection, employment, education and community services. Yet no one system necessarily holds the long-term picture. Survivors can be left to explain their histories repeatedly, manage referrals, navigate eligibility criteria and carry the emotional labour of coordination while also living with trauma, shame, dissociation, poverty, disability, racism, homophobia, transphobia, geographic isolation or previous harmful experiences with services.</w:t>
      </w:r>
    </w:p>
    <w:p w14:paraId="348D4D46" w14:textId="5814AF47" w:rsidR="00373CF5" w:rsidRDefault="00373CF5" w:rsidP="00373CF5">
      <w:r>
        <w:t>Strengthening integration by recognising recovery as a core part of the service ecosystem is recommended not as an optional add-on. Rather, it would mean funding the full range of supports survivors may need: crisis services, specialist sexual assault and family violence responses, therapeutic care, justice and legal support, housing, financial security, peer connection, creative and body-based recovery, culturally specific services, and long-term community-based pathways. Integration shouldn't mean forcing every organisation to do everything. It should mean clear roles, safe referral pathways, shared principles, appropriate information sharing, and funded partnerships.</w:t>
      </w:r>
    </w:p>
    <w:p w14:paraId="6ECDD530" w14:textId="2C952DEE" w:rsidR="00373CF5" w:rsidRDefault="00373CF5" w:rsidP="00373CF5">
      <w:r>
        <w:t>Left Write Hook demonstrates the value of a different kind of system partner: a survivor-led, research-informed recovery organisation that combines creative writing, non-contact boxing and peer connection within a trauma-informed structure. Our model is not a crisis response and does not replace clinical care. It creates a supported recovery pathway for survivors who need to reconnect with voice, body, agency and belonging in community. Programs like Left Write Hook can sit alongside (and/or be supported to partner with) clinical, crisis and justice responses, offering survivors additional pathways into healing, connection and help-seeking.</w:t>
      </w:r>
    </w:p>
    <w:p w14:paraId="4F70C86A" w14:textId="720FD5F4" w:rsidR="00373CF5" w:rsidRDefault="00373CF5" w:rsidP="00373CF5">
      <w:r>
        <w:t xml:space="preserve">The workforce capabilities most needed are trauma- and violence-informed practice, pattern recognition, cultural safety, lived experience leadership, peer workforce development, and the ability to recognise both immediate risk and long-term recovery needs. Workforces across specialist and universal settings need to understand the impacts of child sexual abuse, complex trauma, coercive control, sexual violence, </w:t>
      </w:r>
      <w:r>
        <w:lastRenderedPageBreak/>
        <w:t xml:space="preserve">grooming, dissociation, shame, delayed disclosure, technology-facilitated abuse, systems abuse and institutional betrayal. They also need to understand that trauma responses may appear as inconsistency, withdrawal, anger, difficulty with memory, avoidance, mistrust, distress, risk-taking or disengagement. Without this capability, services can inadvertently </w:t>
      </w:r>
      <w:proofErr w:type="spellStart"/>
      <w:r>
        <w:t>pathologise</w:t>
      </w:r>
      <w:proofErr w:type="spellEnd"/>
      <w:r>
        <w:t>, blame or exclude the very people they are meant to support.</w:t>
      </w:r>
    </w:p>
    <w:p w14:paraId="13B5DB5C" w14:textId="648FF151" w:rsidR="00373CF5" w:rsidRDefault="00373CF5" w:rsidP="00373CF5">
      <w:r>
        <w:t>Universal services have a major role to play. Schools, universities, workplaces, health services, sport, arts organisations, local councils, community centres and digital platforms all encounter people affected by violence. These settings need practical training, clear referral pathways and confidence to respond safely. They do not need to become specialist family violence or sexual assault services, but they do need to know how to recognise harm, respond without victim-blaming, make appropriate referrals, manage disclosures, protect privacy and avoid making risk worse.</w:t>
      </w:r>
    </w:p>
    <w:p w14:paraId="06464A5B" w14:textId="01299E0D" w:rsidR="00373CF5" w:rsidRDefault="00373CF5" w:rsidP="00373CF5">
      <w:r>
        <w:t>Specialist services also need support. The workforce is carrying complex, high-risk and emotionally demanding work in a context of high demand, limited resources and significant vicarious trauma. The Plan should invest in proper supervision, reflective practice, clinical consultation, peer support, workload management, wellbeing supports and sustainable funding. Workforce sustainability is a safety issue. Burnt-out systems are less able to notice risk, respond with care, build trust or retain skilled practitioners.</w:t>
      </w:r>
    </w:p>
    <w:p w14:paraId="654885EE" w14:textId="34A1023C" w:rsidR="00373CF5" w:rsidRDefault="00373CF5" w:rsidP="00373CF5">
      <w:r>
        <w:t xml:space="preserve">The Plan should also </w:t>
      </w:r>
      <w:proofErr w:type="gramStart"/>
      <w:r>
        <w:t>recognise</w:t>
      </w:r>
      <w:proofErr w:type="gramEnd"/>
      <w:r>
        <w:t xml:space="preserve"> and resource lived experience and peer work as a legitimate workforce, not an informal contribution. Survivor-led organisations bring expertise that cannot be replicated by professional training alone. However, lived experience leadership cannot be sustained on goodwill, underpayment or personal sacrifice. Government should fund peer workforce development, training, supervision, debriefing, safeguarding, leadership pathways, remuneration and governance support. Survivor-led work is powerful precisely because it is close to lived experience; but that closeness also requires strong scaffolding.</w:t>
      </w:r>
    </w:p>
    <w:p w14:paraId="7CE74052" w14:textId="1FDF8367" w:rsidR="00373CF5" w:rsidRDefault="00373CF5" w:rsidP="00373CF5">
      <w:r>
        <w:t>The most effective models for collaboration are those with clear governance, role clarity, information-sharing protocols, referral and escalation pathways, and shared risk frameworks. System integration should be built through funded partnerships, not informal relationships between overstretched workers. For example, survivor-led recovery organisations should be able to partner with specialist sexual assault, family violence, mental health, Aboriginal community-controlled and community health services to share intake, referral, safeguarding and risk management pathways. This would allow innovative community-based programs to operate safely without being forced to become clinical services.</w:t>
      </w:r>
    </w:p>
    <w:p w14:paraId="3CF32A83" w14:textId="5CC0CFF5" w:rsidR="00373CF5" w:rsidRDefault="00373CF5" w:rsidP="00373CF5">
      <w:r>
        <w:t>The Second Action Plan should support partnership models that include:</w:t>
      </w:r>
    </w:p>
    <w:p w14:paraId="57B2AB5F" w14:textId="77777777" w:rsidR="00373CF5" w:rsidRDefault="00373CF5" w:rsidP="00373CF5">
      <w:r>
        <w:lastRenderedPageBreak/>
        <w:t>- shared intake and referral pathways;</w:t>
      </w:r>
    </w:p>
    <w:p w14:paraId="7C6535CC" w14:textId="77777777" w:rsidR="00373CF5" w:rsidRDefault="00373CF5" w:rsidP="00373CF5">
      <w:r>
        <w:t>- warm referrals rather than passive referral lists;</w:t>
      </w:r>
    </w:p>
    <w:p w14:paraId="51CDCE97" w14:textId="77777777" w:rsidR="00373CF5" w:rsidRDefault="00373CF5" w:rsidP="00373CF5">
      <w:r>
        <w:t>- agreed risk escalation processes;</w:t>
      </w:r>
    </w:p>
    <w:p w14:paraId="5F7B5DE1" w14:textId="77777777" w:rsidR="00373CF5" w:rsidRDefault="00373CF5" w:rsidP="00373CF5">
      <w:r>
        <w:t>- appropriate information-sharing arrangements;</w:t>
      </w:r>
    </w:p>
    <w:p w14:paraId="1ACD7794" w14:textId="77777777" w:rsidR="00373CF5" w:rsidRDefault="00373CF5" w:rsidP="00373CF5">
      <w:r>
        <w:t>- clinical and specialist consultation where needed;</w:t>
      </w:r>
    </w:p>
    <w:p w14:paraId="57711F63" w14:textId="77777777" w:rsidR="00373CF5" w:rsidRDefault="00373CF5" w:rsidP="00373CF5">
      <w:r>
        <w:t>- cultural safety advice and Aboriginal-led governance where relevant;</w:t>
      </w:r>
    </w:p>
    <w:p w14:paraId="29CE02C4" w14:textId="77777777" w:rsidR="00373CF5" w:rsidRDefault="00373CF5" w:rsidP="00373CF5">
      <w:r>
        <w:t>- lived experience governance and co-design;</w:t>
      </w:r>
    </w:p>
    <w:p w14:paraId="5F4CDEF6" w14:textId="77777777" w:rsidR="00373CF5" w:rsidRDefault="00373CF5" w:rsidP="00373CF5">
      <w:r>
        <w:t>- shared evaluation frameworks;</w:t>
      </w:r>
    </w:p>
    <w:p w14:paraId="132CA4D1" w14:textId="6BF6E1C6" w:rsidR="00373CF5" w:rsidRDefault="00373CF5" w:rsidP="00373CF5">
      <w:r>
        <w:t>- clear boundaries about what each service does and does not provide.</w:t>
      </w:r>
    </w:p>
    <w:p w14:paraId="626EB0C9" w14:textId="79406382" w:rsidR="00373CF5" w:rsidRDefault="00373CF5" w:rsidP="00373CF5">
      <w:r>
        <w:t>Information sharing must be designed carefully. Better coordination does not mean all information should be shared everywhere. Many victim-survivors have experienced surveillance, coercive control, institutional betrayal or systems abuse, and may reasonably fear loss of privacy or control. Information-sharing systems must be trauma-informed, consent-based where possible, safety-focused and transparent. Survivors should understand what is being shared, with whom, why, and what choices they have. Poorly designed information sharing can create risk, particularly where perpetrators use systems to monitor, intimidate or discredit victim-survivors.</w:t>
      </w:r>
    </w:p>
    <w:p w14:paraId="2ECD8AED" w14:textId="363678B9" w:rsidR="00373CF5" w:rsidRDefault="00373CF5" w:rsidP="00373CF5">
      <w:r>
        <w:t>To provide inclusive and accessible responses, specialist and universal services need funding and capability to respond to diverse communities. This includes Aboriginal and Torres Strait Islander people, culturally and racially marginalised communities, migrant and refugee communities, disabled people, LGBTIQA+ people, older women, young people, people in rural and remote communities, people experiencing poverty, people with mental health challenges, people who use substances, and people involved with child protection, justice or housing systems. Inclusion cannot be achieved through translation of materials alone. It requires community-led design, accessible formats, culturally safe practice, flexible eligibility, outreach, transport support, digital access, disability access, and workforces that reflect the communities they serve.</w:t>
      </w:r>
    </w:p>
    <w:p w14:paraId="1D135487" w14:textId="62C22CD8" w:rsidR="00373CF5" w:rsidRDefault="00373CF5" w:rsidP="00373CF5">
      <w:r>
        <w:t>Aboriginal and Torres Strait Islander responses must be led by Aboriginal and Torres Strait Islander communities and organisations. Integration must not mean absorbing community-controlled work into mainstream systems. The Plan should support self-determined, culturally grounded approaches that hold safety, healing, accountability, family, community and culture together.</w:t>
      </w:r>
    </w:p>
    <w:p w14:paraId="1FAD3DB4" w14:textId="4E3F39ED" w:rsidR="00373CF5" w:rsidRDefault="00373CF5" w:rsidP="00373CF5">
      <w:r>
        <w:t xml:space="preserve">The Second Action Plan should also address the divide between policy frameworks. Adult survivors of child sexual abuse can fall between child protection, sexual assault, family violence, mental health, redress and justice systems. Their abuse may be treated </w:t>
      </w:r>
      <w:r>
        <w:lastRenderedPageBreak/>
        <w:t>as “historic”, even when its impacts are current and profound. Many are not in immediate crisis, are not seeking a criminal justice response, or have already had harmful experiences with services. The system needs clearer ownership of long-term recovery for adult survivors of childhood sexual abuse, including those affected by family violence, institutional abuse and gender-based violence.</w:t>
      </w:r>
    </w:p>
    <w:p w14:paraId="28AE2376" w14:textId="6A9E22AB" w:rsidR="00373CF5" w:rsidRDefault="00373CF5" w:rsidP="00373CF5">
      <w:r>
        <w:t>The evidence gaps the Plan should prioritise include long-term recovery outcomes, survivor-led models, peer work, creative and body-based recovery practices, rural and regional access, culturally specific recovery models, and the implementation conditions that allow programs to be delivered safely and with fidelity. Evaluation must measure what matters to survivors, not only what is easiest for systems to count. Outputs such as referral numbers, attendance and program completion are useful, but insufficient.</w:t>
      </w:r>
    </w:p>
    <w:p w14:paraId="1A7E7A3F" w14:textId="4FA4F7B3" w:rsidR="00373CF5" w:rsidRDefault="00373CF5" w:rsidP="00373CF5">
      <w:r>
        <w:t>The Plan should support longitudinal evaluation of outcomes including:</w:t>
      </w:r>
    </w:p>
    <w:p w14:paraId="012495E9" w14:textId="77777777" w:rsidR="00373CF5" w:rsidRDefault="00373CF5" w:rsidP="00373CF5">
      <w:r>
        <w:t>- PTSD and complex PTSD symptoms;</w:t>
      </w:r>
    </w:p>
    <w:p w14:paraId="7397C902" w14:textId="77777777" w:rsidR="00373CF5" w:rsidRDefault="00373CF5" w:rsidP="00373CF5">
      <w:r>
        <w:t>- depression, anxiety and stress;</w:t>
      </w:r>
    </w:p>
    <w:p w14:paraId="210748DE" w14:textId="77777777" w:rsidR="00373CF5" w:rsidRDefault="00373CF5" w:rsidP="00373CF5">
      <w:r>
        <w:t>- wellbeing and quality of life;</w:t>
      </w:r>
    </w:p>
    <w:p w14:paraId="2F832452" w14:textId="77777777" w:rsidR="00373CF5" w:rsidRDefault="00373CF5" w:rsidP="00373CF5">
      <w:r>
        <w:t>- agency and self-efficacy;</w:t>
      </w:r>
    </w:p>
    <w:p w14:paraId="5515360E" w14:textId="77777777" w:rsidR="00373CF5" w:rsidRDefault="00373CF5" w:rsidP="00373CF5">
      <w:r>
        <w:t>- connection, belonging and reduced isolation;</w:t>
      </w:r>
    </w:p>
    <w:p w14:paraId="29C78FE1" w14:textId="77777777" w:rsidR="00373CF5" w:rsidRDefault="00373CF5" w:rsidP="00373CF5">
      <w:r>
        <w:t>- embodiment and relationship to the body;</w:t>
      </w:r>
    </w:p>
    <w:p w14:paraId="67E76794" w14:textId="77777777" w:rsidR="00373CF5" w:rsidRDefault="00373CF5" w:rsidP="00373CF5">
      <w:r>
        <w:t>- help-seeking and trust in services;</w:t>
      </w:r>
    </w:p>
    <w:p w14:paraId="337D857D" w14:textId="77777777" w:rsidR="00373CF5" w:rsidRDefault="00373CF5" w:rsidP="00373CF5">
      <w:r>
        <w:t>- education, employment and community participation;</w:t>
      </w:r>
    </w:p>
    <w:p w14:paraId="125E61FE" w14:textId="77777777" w:rsidR="00373CF5" w:rsidRDefault="00373CF5" w:rsidP="00373CF5">
      <w:r>
        <w:t>- safety and reduced exposure to further harm.</w:t>
      </w:r>
    </w:p>
    <w:p w14:paraId="005FFF1D" w14:textId="03053C2D" w:rsidR="00373CF5" w:rsidRPr="00373CF5" w:rsidRDefault="00373CF5" w:rsidP="00373CF5">
      <w:pPr>
        <w:rPr>
          <w:b/>
          <w:bCs/>
        </w:rPr>
      </w:pPr>
      <w:r w:rsidRPr="00373CF5">
        <w:rPr>
          <w:b/>
          <w:bCs/>
        </w:rPr>
        <w:t>Are there any other actions you think should be a priority to stop family, domestic and sexual violence?</w:t>
      </w:r>
    </w:p>
    <w:p w14:paraId="76E53404" w14:textId="53AFBC5E" w:rsidR="00373CF5" w:rsidRDefault="00373CF5" w:rsidP="00373CF5">
      <w:r>
        <w:t>Left Write Hook recommends that the Second Action Plan explicitly recognise long-term recovery and healing as core parts of the national response to family, domestic and sexual violence, child sexual abuse and gender-based violence.</w:t>
      </w:r>
    </w:p>
    <w:p w14:paraId="520983CC" w14:textId="77777777" w:rsidR="00373CF5" w:rsidRDefault="00373CF5" w:rsidP="00373CF5">
      <w:r>
        <w:t xml:space="preserve">Recovery is often positioned as what happens after crisis, justice or clinical intervention. As Rosie Batty shared 'Recovery is prevention'. </w:t>
      </w:r>
    </w:p>
    <w:p w14:paraId="52121D2C" w14:textId="77777777" w:rsidR="00373CF5" w:rsidRDefault="00373CF5" w:rsidP="00373CF5">
      <w:r>
        <w:t>From our work with survivors, we see recovery as part of safety, prevention, justice and social participation. Survivors who are supported to reclaim voice, body, agency and belonging are often better able to seek help, set boundaries, engage with services, reconnect with community, advocate for change and, where they choose, engage with justice pathways.</w:t>
      </w:r>
    </w:p>
    <w:p w14:paraId="5773C950" w14:textId="4748FB1C" w:rsidR="00373CF5" w:rsidRDefault="00373CF5" w:rsidP="00373CF5">
      <w:r>
        <w:lastRenderedPageBreak/>
        <w:t>This is why we advocate that recovery should not be treated as peripheral or “soft”. Reclaiming voice challenges silence. Reconnecting with the body challenges the embodied impacts of violence. Building peer connection challenges shame and isolation. Strengthening agency supports recovery and can help survivors engage with counselling, justice, education, employment and community life.</w:t>
      </w:r>
    </w:p>
    <w:p w14:paraId="422C9D39" w14:textId="55D63C22" w:rsidR="00373CF5" w:rsidRDefault="00373CF5" w:rsidP="00373CF5">
      <w:r>
        <w:t>Left Write Hook’s research and evaluation suggest that creative, physical and relational recovery models can make a measurable difference. Preliminary research connected to the University of Melbourne has demonstrated reductions in PTSD, complex PTSD, depression and stress, alongside increases in personal agency, belonging and resilience. The model is currently being evaluated through an MRFF-funded randomised controlled trial in partnership with the University of Melbourne. This kind of evidence-building should be supported across the sector, particularly for survivor-led and community-based models that often struggle to access long-term research funding.</w:t>
      </w:r>
    </w:p>
    <w:p w14:paraId="2841D36D" w14:textId="16CDD1D3" w:rsidR="00373CF5" w:rsidRDefault="00373CF5" w:rsidP="00373CF5">
      <w:r>
        <w:t>We also recommend that the Second Action Plan invest in implementation funding. Too often, programs are funded to deliver activities without adequate support for the infrastructure that makes delivery safe and effective. The Plan should fund intake systems, safeguarding, workforce training, supervision, data systems, evaluation, governance, insurance, partnership development and organisational sustainability. These are not administrative extras. They are the conditions that allow organisations like ours to deliver safe, accountable and effective responses.</w:t>
      </w:r>
    </w:p>
    <w:p w14:paraId="6ADC9BB8" w14:textId="70F74D96" w:rsidR="00373CF5" w:rsidRDefault="00373CF5" w:rsidP="00373CF5">
      <w:r>
        <w:t>We hope the plan will strengthen workforce development across prevention, early intervention, response and recovery. This should include national trauma- and violence-informed capability frameworks, specialist training on sexual violence and child sexual abuse, training on coercive control and technology-facilitated abuse, lived experience workforce pathways, and practical tools for universal services. Workforce development should be ongoing and embedded, not delivered as one-off training with no supervision or practice change.</w:t>
      </w:r>
    </w:p>
    <w:p w14:paraId="6800D4FA" w14:textId="5A686DB3" w:rsidR="00373CF5" w:rsidRDefault="00373CF5" w:rsidP="00373CF5">
      <w:r>
        <w:t>System integration must include prevention and recovery, not only crisis response. Programs that build voice, agency, embodiment, connection and belonging can contribute to prevention by challenging shame, silence, isolation and disconnection. Survivors need multiple pathways into support, including crisis services, specialist family violence and sexual assault services, clinical care, justice responses, peer connection, creative and body-based recovery, culturally safe services and community-based healing.</w:t>
      </w:r>
    </w:p>
    <w:p w14:paraId="65E7C405" w14:textId="73454FC1" w:rsidR="00373CF5" w:rsidRDefault="00373CF5" w:rsidP="00373CF5">
      <w:r>
        <w:t>Left Write Hook’s contribution to this submission is supported by The Snow Foundation, which has invested in our work through its Snow Entrepreneurs program:</w:t>
      </w:r>
    </w:p>
    <w:p w14:paraId="531139D0" w14:textId="45119640" w:rsidR="00373CF5" w:rsidRDefault="00373CF5" w:rsidP="00373CF5">
      <w:r>
        <w:t xml:space="preserve">“Snow Foundation supports Left Write Hook and its founder, [redacted], through our Snow Entrepreneurs program, recognising the important role of lived experience </w:t>
      </w:r>
      <w:r>
        <w:lastRenderedPageBreak/>
        <w:t>leadership in driving social change. Through its work with survivors, the organisation brings important insight into both the scale of unmet need and the value of investing in long-term healing and recovery for victim-survivors of childhood sexual abuse. We welcome this submission and its contribution to ensuring that investing in recovery, alongside prevention and response, remains central to Australia’s next National Action Plan.”</w:t>
      </w:r>
    </w:p>
    <w:p w14:paraId="56E3B35B" w14:textId="77777777" w:rsidR="00373CF5" w:rsidRDefault="00373CF5" w:rsidP="00373CF5">
      <w:r>
        <w:t>[redacted]</w:t>
      </w:r>
    </w:p>
    <w:p w14:paraId="78649F3E" w14:textId="77777777" w:rsidR="00373CF5" w:rsidRDefault="00373CF5" w:rsidP="00373CF5">
      <w:r>
        <w:t>Head of Partnerships (Gender lead) – Our Country</w:t>
      </w:r>
    </w:p>
    <w:p w14:paraId="331FE4A1" w14:textId="4EBDE7E5" w:rsidR="00373CF5" w:rsidRDefault="00373CF5" w:rsidP="00373CF5">
      <w:r>
        <w:t>Snow Foundation</w:t>
      </w:r>
    </w:p>
    <w:p w14:paraId="3CCF030C" w14:textId="66762371" w:rsidR="00373CF5" w:rsidRDefault="00373CF5" w:rsidP="00373CF5">
      <w:r>
        <w:t xml:space="preserve">Finally, we recommend that the Second Action Plan </w:t>
      </w:r>
      <w:proofErr w:type="gramStart"/>
      <w:r>
        <w:t>take action</w:t>
      </w:r>
      <w:proofErr w:type="gramEnd"/>
      <w:r>
        <w:t xml:space="preserve"> by:</w:t>
      </w:r>
    </w:p>
    <w:p w14:paraId="6CB4ADFC" w14:textId="77777777" w:rsidR="00373CF5" w:rsidRDefault="00373CF5" w:rsidP="00373CF5">
      <w:r>
        <w:t>- recognising long-term recovery and healing as core parts of the national response;</w:t>
      </w:r>
    </w:p>
    <w:p w14:paraId="6A839973" w14:textId="77777777" w:rsidR="00373CF5" w:rsidRDefault="00373CF5" w:rsidP="00373CF5">
      <w:r>
        <w:t>- funding survivor-led recovery organisations like Left Write Hook as legitimate system partners;</w:t>
      </w:r>
    </w:p>
    <w:p w14:paraId="55A2C930" w14:textId="77777777" w:rsidR="00373CF5" w:rsidRDefault="00373CF5" w:rsidP="00373CF5">
      <w:r>
        <w:t>- strengthening trauma- and violence-informed capability across specialist and universal services;</w:t>
      </w:r>
    </w:p>
    <w:p w14:paraId="610D0C4E" w14:textId="77777777" w:rsidR="00373CF5" w:rsidRDefault="00373CF5" w:rsidP="00373CF5">
      <w:r>
        <w:t>- investing in peer and lived experience workforce development;</w:t>
      </w:r>
    </w:p>
    <w:p w14:paraId="4C9DEC52" w14:textId="77777777" w:rsidR="00373CF5" w:rsidRDefault="00373CF5" w:rsidP="00373CF5">
      <w:r>
        <w:t>- funding supervision, reflective practice and vicarious trauma supports;</w:t>
      </w:r>
    </w:p>
    <w:p w14:paraId="617FD36A" w14:textId="77777777" w:rsidR="00373CF5" w:rsidRDefault="00373CF5" w:rsidP="00373CF5">
      <w:r>
        <w:t>- building formal partnership models between survivor-led, specialist, clinical, community-controlled and universal services to reduce waitlists;</w:t>
      </w:r>
    </w:p>
    <w:p w14:paraId="7FDE6A3D" w14:textId="77777777" w:rsidR="00373CF5" w:rsidRDefault="00373CF5" w:rsidP="00373CF5">
      <w:r>
        <w:t>- supporting safe, transparent and survivor-centred information sharing;</w:t>
      </w:r>
    </w:p>
    <w:p w14:paraId="129E931C" w14:textId="77777777" w:rsidR="00373CF5" w:rsidRDefault="00373CF5" w:rsidP="00373CF5">
      <w:r>
        <w:t>- investing in culturally safe, accessible and community-led responses;</w:t>
      </w:r>
    </w:p>
    <w:p w14:paraId="687E50D7" w14:textId="77777777" w:rsidR="00373CF5" w:rsidRDefault="00373CF5" w:rsidP="00373CF5">
      <w:r>
        <w:t>- addressing evidence gaps in long-term recovery, survivor-led practice and creative/body-based models;</w:t>
      </w:r>
    </w:p>
    <w:p w14:paraId="2CD67317" w14:textId="5D3A8B6D" w:rsidR="00373CF5" w:rsidRDefault="00373CF5" w:rsidP="00373CF5">
      <w:r>
        <w:t>- funding the infrastructure required for safe implementation, not just program delivery.</w:t>
      </w:r>
    </w:p>
    <w:p w14:paraId="73AC7D6C" w14:textId="2B36C8E3" w:rsidR="00373CF5" w:rsidRPr="00373CF5" w:rsidRDefault="00373CF5" w:rsidP="00373CF5">
      <w:r>
        <w:t>We hope the Second Action Plan embraces the opportunity to build a system that does not ask victim-survivors to hold all the complexity alone. A coordinated system should create multiple safe entry points, recognise the cumulative impacts of violence and abuse, support the workforce to respond well, and fund the infrastructure needed for collaboration. It should make room for crisis response, justice, clinical care, community connection and long-term healing. For survivors, these are not separate needs, they are part of the same recovery landscape.</w:t>
      </w:r>
    </w:p>
    <w:sectPr w:rsidR="00373CF5" w:rsidRPr="00373C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CF5"/>
    <w:rsid w:val="00022A23"/>
    <w:rsid w:val="0023679E"/>
    <w:rsid w:val="002406CF"/>
    <w:rsid w:val="00373CF5"/>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CF70"/>
  <w15:chartTrackingRefBased/>
  <w15:docId w15:val="{989FC2B2-4A5E-4C14-912D-3EE7E9D1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3C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C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C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C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C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C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C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C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C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C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C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C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C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C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C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C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C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CF5"/>
    <w:rPr>
      <w:rFonts w:eastAsiaTheme="majorEastAsia" w:cstheme="majorBidi"/>
      <w:color w:val="272727" w:themeColor="text1" w:themeTint="D8"/>
    </w:rPr>
  </w:style>
  <w:style w:type="paragraph" w:styleId="Title">
    <w:name w:val="Title"/>
    <w:basedOn w:val="Normal"/>
    <w:next w:val="Normal"/>
    <w:link w:val="TitleChar"/>
    <w:uiPriority w:val="10"/>
    <w:qFormat/>
    <w:rsid w:val="00373C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C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C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C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CF5"/>
    <w:pPr>
      <w:spacing w:before="160"/>
      <w:jc w:val="center"/>
    </w:pPr>
    <w:rPr>
      <w:i/>
      <w:iCs/>
      <w:color w:val="404040" w:themeColor="text1" w:themeTint="BF"/>
    </w:rPr>
  </w:style>
  <w:style w:type="character" w:customStyle="1" w:styleId="QuoteChar">
    <w:name w:val="Quote Char"/>
    <w:basedOn w:val="DefaultParagraphFont"/>
    <w:link w:val="Quote"/>
    <w:uiPriority w:val="29"/>
    <w:rsid w:val="00373CF5"/>
    <w:rPr>
      <w:i/>
      <w:iCs/>
      <w:color w:val="404040" w:themeColor="text1" w:themeTint="BF"/>
    </w:rPr>
  </w:style>
  <w:style w:type="paragraph" w:styleId="ListParagraph">
    <w:name w:val="List Paragraph"/>
    <w:basedOn w:val="Normal"/>
    <w:uiPriority w:val="34"/>
    <w:qFormat/>
    <w:rsid w:val="00373CF5"/>
    <w:pPr>
      <w:ind w:left="720"/>
      <w:contextualSpacing/>
    </w:pPr>
  </w:style>
  <w:style w:type="character" w:styleId="IntenseEmphasis">
    <w:name w:val="Intense Emphasis"/>
    <w:basedOn w:val="DefaultParagraphFont"/>
    <w:uiPriority w:val="21"/>
    <w:qFormat/>
    <w:rsid w:val="00373CF5"/>
    <w:rPr>
      <w:i/>
      <w:iCs/>
      <w:color w:val="0F4761" w:themeColor="accent1" w:themeShade="BF"/>
    </w:rPr>
  </w:style>
  <w:style w:type="paragraph" w:styleId="IntenseQuote">
    <w:name w:val="Intense Quote"/>
    <w:basedOn w:val="Normal"/>
    <w:next w:val="Normal"/>
    <w:link w:val="IntenseQuoteChar"/>
    <w:uiPriority w:val="30"/>
    <w:qFormat/>
    <w:rsid w:val="00373C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CF5"/>
    <w:rPr>
      <w:i/>
      <w:iCs/>
      <w:color w:val="0F4761" w:themeColor="accent1" w:themeShade="BF"/>
    </w:rPr>
  </w:style>
  <w:style w:type="character" w:styleId="IntenseReference">
    <w:name w:val="Intense Reference"/>
    <w:basedOn w:val="DefaultParagraphFont"/>
    <w:uiPriority w:val="32"/>
    <w:qFormat/>
    <w:rsid w:val="00373C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778507-1AB7-464C-AE71-03C13BB58B4B}"/>
</file>

<file path=customXml/itemProps2.xml><?xml version="1.0" encoding="utf-8"?>
<ds:datastoreItem xmlns:ds="http://schemas.openxmlformats.org/officeDocument/2006/customXml" ds:itemID="{F4BF0013-19D7-4912-9635-344A5E01DAF7}"/>
</file>

<file path=customXml/itemProps3.xml><?xml version="1.0" encoding="utf-8"?>
<ds:datastoreItem xmlns:ds="http://schemas.openxmlformats.org/officeDocument/2006/customXml" ds:itemID="{B99A1F61-E730-4592-8461-A095A83A55CE}"/>
</file>

<file path=docProps/app.xml><?xml version="1.0" encoding="utf-8"?>
<Properties xmlns="http://schemas.openxmlformats.org/officeDocument/2006/extended-properties" xmlns:vt="http://schemas.openxmlformats.org/officeDocument/2006/docPropsVTypes">
  <Template>Normal.dotm</Template>
  <TotalTime>4</TotalTime>
  <Pages>17</Pages>
  <Words>6905</Words>
  <Characters>39360</Characters>
  <Application>Microsoft Office Word</Application>
  <DocSecurity>0</DocSecurity>
  <Lines>328</Lines>
  <Paragraphs>92</Paragraphs>
  <ScaleCrop>false</ScaleCrop>
  <Company/>
  <LinksUpToDate>false</LinksUpToDate>
  <CharactersWithSpaces>46173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2026-09-04T05:21:00Z</dcterms:created>
  <dcterms:modified xsi:type="dcterms:W3CDTF">2026-09-04T05:25:00Z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