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289DC" w14:textId="71BC6113" w:rsidR="0023679E" w:rsidRDefault="00605894">
      <w:pPr>
        <w:rPr>
          <w:b/>
          <w:bCs/>
        </w:rPr>
      </w:pPr>
      <w:r w:rsidRPr="00605894">
        <w:rPr>
          <w:b/>
          <w:bCs/>
        </w:rPr>
        <w:t>Maggie's Legacy</w:t>
      </w:r>
    </w:p>
    <w:p w14:paraId="08B08598" w14:textId="58998A9D" w:rsidR="00605894" w:rsidRDefault="00605894">
      <w:pPr>
        <w:rPr>
          <w:b/>
          <w:bCs/>
        </w:rPr>
      </w:pPr>
      <w:r w:rsidRPr="00605894">
        <w:rPr>
          <w:b/>
          <w:bCs/>
        </w:rPr>
        <w:t>Feedback for Priority Area 1: Victim-survivors</w:t>
      </w:r>
    </w:p>
    <w:p w14:paraId="1A5C5A80" w14:textId="77DD24CD" w:rsidR="00605894" w:rsidRDefault="00605894" w:rsidP="00605894">
      <w:r>
        <w:t>Priority Area 1 should begin with a clear principle: victim-survivors are often the people with the most detailed knowledge of the perpetrator’s private rules, likely reactions and escalation patterns. The system response that would make the greatest difference is one that listens without judgement, identifies patterns rather than treating each incident in isolation, and develops safety responses with—not for—the victim-survivor. Additional funding will have limited impact unless the message carried through prevention, frontline, crisis and legal systems also becomes safer and more consistent.</w:t>
      </w:r>
    </w:p>
    <w:p w14:paraId="375B586B" w14:textId="79D9CC4C" w:rsidR="00605894" w:rsidRDefault="00605894" w:rsidP="00605894">
      <w:r>
        <w:t>I offer this feedback as a victim-survivor, counsellor and founder of Maggie’s Legacy, a framework developed through lived experience and more than a decade of domestic and family violence counselling. I have repeatedly heard people say: “I know it was abuse, but I still love them”; “I knew what would happen if I said no”; “It was easier to give in”; and “The system made me feel as though I was the problem.” These statements do not show consent or a failure to protect oneself. They can reveal the mechanics of coercive control: fear, obligation, appeasement, dependency, confusion and continual risk calculation.</w:t>
      </w:r>
    </w:p>
    <w:p w14:paraId="496FD17E" w14:textId="337F7B51" w:rsidR="00605894" w:rsidRDefault="00605894" w:rsidP="00605894">
      <w:r>
        <w:t xml:space="preserve">If we improve the diagnosis of coercive control, we improve the prognosis of safety. Systems are becoming better at naming coercive control, but victim-survivors and frontline workers still need a practical way to recognise how it operates through language, behaviour and anticipated consequences. A pattern may be visible long before an assault, police event or court application. It </w:t>
      </w:r>
      <w:proofErr w:type="gramStart"/>
      <w:r>
        <w:t>can</w:t>
      </w:r>
      <w:proofErr w:type="gramEnd"/>
      <w:r>
        <w:t xml:space="preserve"> appear in statements such as “If you loved me, you would…”, “You know what happens when you upset me”, or “You are destroying the family.” The victim’s language may also reveal it: “I had to”, “I needed permission”, “I could not risk saying no”, or “I knew how to keep the peace.”</w:t>
      </w:r>
    </w:p>
    <w:p w14:paraId="505482E8" w14:textId="3CAAA812" w:rsidR="00605894" w:rsidRDefault="00605894" w:rsidP="00605894">
      <w:r>
        <w:t>Maggie’s Legacy makes these invisible patterns visible. It distinguishes relational language—respect, empathy, choice, shared responsibility and the ability to disagree safely—from transactional language, where love, money, children, housing, status, culture, faith or safety are turned into conditions that must be met. The concern is not one sentence in isolation, but a repeated interaction in which one person’s safety or belonging depends on complying with another person’s unwritten rules.</w:t>
      </w:r>
    </w:p>
    <w:p w14:paraId="0014DB39" w14:textId="79FE859D" w:rsidR="00605894" w:rsidRDefault="00605894" w:rsidP="00605894">
      <w:r>
        <w:t xml:space="preserve">The framework describes the resulting experience as the Psychological Cage. The victim-survivor may feel trapped between two unsafe options: comply and lose autonomy, or resist and risk punishment, violence, financial harm, child-related threats, humiliation or abandonment. This helps explain why victims may say yes when they want to say no, remain in contact, return, minimise what occurred or withdraw a complaint. These can be survival strategies. Advice such as “just leave”, “set a </w:t>
      </w:r>
      <w:r>
        <w:lastRenderedPageBreak/>
        <w:t>boundary”, “block them” or “say no” may be well intended, but no can be dangerous when resistance is treated as a challenge to control.</w:t>
      </w:r>
    </w:p>
    <w:p w14:paraId="752AE8F1" w14:textId="3458D863" w:rsidR="00605894" w:rsidRDefault="00605894" w:rsidP="00605894">
      <w:r>
        <w:t>The Maggie’s Legacy Bunker is the practical safety component. It moves the interaction away from the perpetrator’s private rules and back toward written standards: the law, consent, housing and financial rights, professional obligations, parenting arrangements and the victim-survivor’s own values and safety needs. The goal is not to tell a person what to do or require confrontation. It is to identify the pattern, forecast likely responses and develop a tailored plan using what the victim knows about the risk. A safer response may involve delaying, documenting behaviour, protecting devices, using a code word, identifying a safe person, seeking advice or leaving when conditions are safer. Appeasement can sometimes be a short-term protective action rather than a failure of courage.</w:t>
      </w:r>
    </w:p>
    <w:p w14:paraId="089B2235" w14:textId="4F722DA6" w:rsidR="00605894" w:rsidRDefault="00605894" w:rsidP="00605894">
      <w:r>
        <w:t>People are more likely to access support earlier when the first response is respectful, useful and safe. Disclosure is itself a risk decision. Victim-survivors may fear not being believed, losing their children, financial collapse, homelessness, community judgement, retaliation, police involvement or being pressured to leave before they are ready. Others do not identify their experience as domestic violence because the control has become normalised or there has been little physical assault. Being blamed, disbelieved, repeatedly questioned or passed between services can become a major barrier to seeking help again.</w:t>
      </w:r>
    </w:p>
    <w:p w14:paraId="2BF625F1" w14:textId="6A4E116B" w:rsidR="00605894" w:rsidRDefault="00605894" w:rsidP="00605894">
      <w:r>
        <w:t>The Second Action Plan should strengthen every likely entry point for disclosure, including health services, schools, workplaces, counselling, housing, legal services, police, courts, disability services and community organisations. Frontline workers need more than a checklist. They need questions that uncover patterns without requiring legal terminology, such as: “What may happen if you say no?”, “Are there rules you are expected to follow?”, “Has the pressure or monitoring changed?”, “What keeps you safest?”, and “What would make the next step safer?”</w:t>
      </w:r>
    </w:p>
    <w:p w14:paraId="1549A25D" w14:textId="4FFF2716" w:rsidR="00605894" w:rsidRDefault="00605894" w:rsidP="00605894">
      <w:r>
        <w:t>A coordinated system should reduce repeated retelling. With informed consent and strong privacy protections, services should be able to record the pattern, the victim-survivor’s fears, known escalation indicators, technology risks, children’s needs and agreed safety actions. A person should not have to repeatedly prove the seriousness of the abuse to every new worker. Success should be measured by whether victims feel safer, believed and able to make informed choices—not only by whether they left, reported to police or obtained an order.</w:t>
      </w:r>
    </w:p>
    <w:p w14:paraId="586BF001" w14:textId="0A8B6271" w:rsidR="00605894" w:rsidRDefault="00605894" w:rsidP="00605894">
      <w:r>
        <w:t xml:space="preserve">Technology-facilitated abuse must be treated as a central expression of coercive control, not a separate technology issue. It can include location tracking, password access, surveillance through shared accounts or devices, monitoring banking applications, threats involving intimate images, impersonation, online harassment, </w:t>
      </w:r>
      <w:r>
        <w:lastRenderedPageBreak/>
        <w:t>manipulation of children’s devices, smart-home control and fabricated sexual images. Telling a victim simply to switch off a device or block an account may increase danger or remove access to evidence, money, support and emergency contact. Technology safety planning should be included in every risk assessment, with access to specialist advice, secure devices and guidance on preserving evidence and separating accounts safely.</w:t>
      </w:r>
    </w:p>
    <w:p w14:paraId="0A6C64AD" w14:textId="204C4EA9" w:rsidR="00605894" w:rsidRDefault="00605894" w:rsidP="00605894">
      <w:r>
        <w:t xml:space="preserve">Healing and recovery must extend beyond physical separation. Victim-survivors may need support to rebuild trust in their judgement after years of being told their perceptions were wrong. Recovery may require safe housing, financial stability, legal assistance, trauma-informed counselling, health care, parenting support and workplace flexibility. Services should not define success only as leaving. Progress may first look like recognising the pattern, protecting a document, speaking to a trusted person or </w:t>
      </w:r>
      <w:proofErr w:type="gramStart"/>
      <w:r>
        <w:t>making a plan</w:t>
      </w:r>
      <w:proofErr w:type="gramEnd"/>
      <w:r>
        <w:t>.</w:t>
      </w:r>
    </w:p>
    <w:p w14:paraId="0750E8FD" w14:textId="2A72796B" w:rsidR="00605894" w:rsidRDefault="00605894" w:rsidP="00605894">
      <w:r>
        <w:t>Responses for diverse communities must be designed with those communities rather than adapted afterwards. Aboriginal and Torres Strait Islander women, children, families and communities should have access to culturally safe, community-controlled and locally designed responses that recognise kinship, connection to Country, community strengths and the effects of colonisation, racism and institutional harm. Fear of child removal, police, courts, community consequences or culturally unsafe services can make disclosure especially difficult. The Action Plan should invest in Aboriginal Community Controlled Organisations, local workforce development, healing-led approaches, interpreters, culturally informed risk assessment and long-term partnerships. Culture must never excuse violence, but safety responses should not unnecessarily disconnect a victim from culture, family and community.</w:t>
      </w:r>
    </w:p>
    <w:p w14:paraId="11CE9650" w14:textId="04A8D76A" w:rsidR="00605894" w:rsidRDefault="00605894" w:rsidP="00605894">
      <w:r>
        <w:t>The same commitment is needed for culturally and linguistically diverse communities, LGBTQIA+ people, people with disability, older people, men who experience abuse, regional and remote communities, temporary visa holders and those facing housing or financial insecurity. Safety planning must account for communication needs, dependence on carers, threats of outing, visa-related control, limited services, transport barriers and community visibility.</w:t>
      </w:r>
    </w:p>
    <w:p w14:paraId="077BB230" w14:textId="5C5CB34E" w:rsidR="00605894" w:rsidRDefault="00605894" w:rsidP="00605894">
      <w:r>
        <w:t>The Second Action Plan should support independently evaluated Maggie’s Legacy pilots across health, education, policing, legal, workplace and specialist domestic violence settings. This would not replace existing risk assessment, legal responses or specialist expertise. It would complement them by giving victim-survivors and workers a shared language for recognising pressure, identifying the Psychological Cage, returning to standards through the Bunker, forecasting risk and tailoring safety responses.</w:t>
      </w:r>
    </w:p>
    <w:p w14:paraId="65ADB9F9" w14:textId="6B57A135" w:rsidR="00605894" w:rsidRDefault="00605894" w:rsidP="00605894">
      <w:r>
        <w:t xml:space="preserve">Victim-survivors must be meaningfully involved in designing, delivering and evaluating the systems intended to protect them. Participation should be paid, supported and diverse, and should not require repeated traumatic disclosure. Governments should </w:t>
      </w:r>
      <w:r>
        <w:lastRenderedPageBreak/>
        <w:t>listen not only to those who successfully navigated services, but also to people who delayed disclosure, returned to a relationship, withdrew from a process, were not believed or regretted seeking help. Their experiences show where the system itself can increase danger, shame and disengagement.</w:t>
      </w:r>
    </w:p>
    <w:p w14:paraId="2B1C55A5" w14:textId="77777777" w:rsidR="00605894" w:rsidRDefault="00605894" w:rsidP="00605894">
      <w:r>
        <w:t>Maggie’s Legacy offers a practical contribution to this priority: listen to the victim’s language, identify the pattern behind the incident, understand the consequences attached to saying no, and return safety planning to standards without removing the person’s agency. The best response does not wait for crisis or tell the victim what a strong person should do. It makes the invisible visible, respects the victim-survivor’s knowledge, and creates a safer path from recognition to support, healing and recovery.</w:t>
      </w:r>
    </w:p>
    <w:p w14:paraId="388686A4" w14:textId="15F474F9" w:rsidR="00605894" w:rsidRPr="00605894" w:rsidRDefault="00605894" w:rsidP="00605894">
      <w:pPr>
        <w:rPr>
          <w:b/>
          <w:bCs/>
        </w:rPr>
      </w:pPr>
      <w:r w:rsidRPr="00605894">
        <w:rPr>
          <w:b/>
          <w:bCs/>
        </w:rPr>
        <w:t>Feedback for Priority Area 2: Prevention and early intervention</w:t>
      </w:r>
    </w:p>
    <w:p w14:paraId="0CE4B425" w14:textId="5E38290E" w:rsidR="00605894" w:rsidRDefault="00605894" w:rsidP="00605894">
      <w:r>
        <w:t>Preventing violence requires more than awareness. People need a practical, shared way to recognise pressure, control and escalating conflict before serious harm occurs. Messages about respect, consent and equality are essential, but many people still struggle to see how harmful behaviour begins in ordinary conversations, becomes normalised and can be safely interrupted.</w:t>
      </w:r>
    </w:p>
    <w:p w14:paraId="6DA47E92" w14:textId="2B8BEB8F" w:rsidR="00605894" w:rsidRDefault="00605894" w:rsidP="00605894">
      <w:r>
        <w:t>Maggie’s Legacy was developed through lived experience and more than a decade of domestic and family violence counselling. Its original purpose was to make the invisible mechanics of coercive control visible by mapping the language, behaviour and obligations that can cause a person to comply when they do not genuinely feel free to choose. It identifies the difference between relational language and transactional pressure, the Psychological Cage created when both available choices feel unsafe, and the Bunker—a return to standards, safety, accountability and practical next steps.</w:t>
      </w:r>
    </w:p>
    <w:p w14:paraId="2B945B72" w14:textId="31D88EE3" w:rsidR="00605894" w:rsidRDefault="00605894" w:rsidP="00605894">
      <w:r>
        <w:t>Although Maggie’s Legacy identifies the mechanics of coercive control, an important and largely accidental discovery followed. The same underlying pattern in language and behaviour was repeatedly appearing in other forms of conflict: in classrooms, friendship groups, dating relationships, families, sporting teams, workplaces, online spaces, service systems and courts. The setting and level of risk may differ, and not every conflict is coercive control, but the movement from mutual respect to pressure, entitlement, blame, obligation and retaliation can be recognised across many environments. The same prevention language can therefore travel from the classroom to the courtroom.</w:t>
      </w:r>
    </w:p>
    <w:p w14:paraId="09B07A13" w14:textId="5BEE6E4F" w:rsidR="00605894" w:rsidRDefault="00605894" w:rsidP="00605894">
      <w:r>
        <w:t xml:space="preserve">This creates an opportunity for the Second Action Plan. Rather than different sectors using disconnected messages, governments, communities, schools, workplaces, online platforms, health services, police and courts could share an accessible framework for recognising, responding to and de-escalating harmful behaviour. A student, parent, teacher, manager, counsellor, police officer or service worker could </w:t>
      </w:r>
      <w:r>
        <w:lastRenderedPageBreak/>
        <w:t>ask: does this interaction allow genuine choice and shared responsibility, or is one person being pressured to carry the consequences of another person’s demands?</w:t>
      </w:r>
    </w:p>
    <w:p w14:paraId="29F7433D" w14:textId="650AB05A" w:rsidR="00605894" w:rsidRDefault="00605894" w:rsidP="00605894">
      <w:r>
        <w:t>Maggie’s Legacy describes relational language as communication grounded in respect, empathy, choice, accountability and the ability to disagree safely. Transactional language makes care, belonging, approval, safety or opportunity conditional. It may sound like: “If you loved me, you would…”, “If you were really my friend…”, “Prove yourself”, or “Do this or everyone will know.” When repeated and connected to consequences, this language can create a pattern of control.</w:t>
      </w:r>
    </w:p>
    <w:p w14:paraId="31E5B7D9" w14:textId="661C5CDC" w:rsidR="00605894" w:rsidRDefault="00605894" w:rsidP="00605894">
      <w:r>
        <w:t>Prevention should therefore teach people to identify not only harmful attitudes, but the language through which those attitudes are enacted. People need to recognise when a request becomes a condition, persuasion becomes punishment, accountability becomes blame, and another person’s “no” is treated as disloyalty, disrespect or provocation. Coercive behaviour can develop gradually and be disguised as love, loyalty, discipline, workplace expectations, cultural obligation or protection.</w:t>
      </w:r>
    </w:p>
    <w:p w14:paraId="00F15C7E" w14:textId="692360E6" w:rsidR="00605894" w:rsidRDefault="00605894" w:rsidP="00605894">
      <w:r>
        <w:t>The Psychological Cage explains why early intervention is often missed. A person may feel that complying violates their values, while refusing risks exclusion, humiliation, financial harm, lost opportunity, relationship breakdown or violence. Both options feel unsafe. This can occur in domestic abuse, but a similar decision-making trap can also be seen in bullying, peer pressure, harmful sexual behaviour, workplace conflict and online coercion. This helps explain why “just say no”, “just leave”, “block them” or “stand up for yourself” may be inadequate and, at times, unsafe.</w:t>
      </w:r>
    </w:p>
    <w:p w14:paraId="39DB31C0" w14:textId="0D4956DC" w:rsidR="00605894" w:rsidRDefault="00605894" w:rsidP="00605894">
      <w:r>
        <w:t>The Bunker provides a practical response. It means stepping outside the personal contest and returning to a clear standard: consent, policy, law, professional obligations, school rules, team values or personal safety. The purpose is not to defeat or diagnose another person. It is to depersonalise the interaction, clarify what standard applies, reduce escalation and identify a safe next step. That may include pausing, seeking support, documenting behaviour, changing location, using a prepared response, involving an appropriate authority or developing a tailored safety plan.</w:t>
      </w:r>
    </w:p>
    <w:p w14:paraId="736DEDB1" w14:textId="519600B3" w:rsidR="00605894" w:rsidRDefault="00605894" w:rsidP="00605894">
      <w:r>
        <w:t>This approach can strengthen respectful relationships education by giving students more than broad messages about respect. Young people can learn how pressure sounds, how it changes choice, how online and dating abuse may be disguised as proof of loyalty, and how to identify their “line, person and space”: what they can say, who they can contact and where they are safest. It can also help young people using harmful behaviour to recognise entitlement, accept boundaries, understand impact and practise alternative responses before patterns become entrenched.</w:t>
      </w:r>
    </w:p>
    <w:p w14:paraId="71F2D1AE" w14:textId="02A5B783" w:rsidR="00605894" w:rsidRDefault="00605894" w:rsidP="00605894">
      <w:r>
        <w:t xml:space="preserve">In workplaces, Maggie’s Legacy can complement psychosocial safety, anti-bullying, grievance and leadership systems. Staff can distinguish a legitimate work requirement from communication relying on humiliation, personal pressure, retaliation or shifting </w:t>
      </w:r>
      <w:r>
        <w:lastRenderedPageBreak/>
        <w:t>unwritten rules. Managers can return concerns to role expectations, policy and process instead of becoming drawn into personal conflict. Early intervention is more likely when people have neutral language for describing an interaction before it becomes a formal complaint, psychological injury or employment breakdown.</w:t>
      </w:r>
    </w:p>
    <w:p w14:paraId="6EAC647E" w14:textId="2A7DBFF5" w:rsidR="00605894" w:rsidRDefault="00605894" w:rsidP="00605894">
      <w:r>
        <w:t>Prevention messages must also be consistent. It is not enough for an organisation to have a policy if its everyday language, leadership and responses tolerate humiliation, retaliation or pressure.</w:t>
      </w:r>
    </w:p>
    <w:p w14:paraId="7716B841" w14:textId="3539E9A8" w:rsidR="00605894" w:rsidRDefault="00605894" w:rsidP="00605894">
      <w:r>
        <w:t>Governments could strengthen prevention by supporting a common language across education, health, community services, justice and employment. Frontline training should include questions that reveal patterns early: “What do you think would happen if you said no?”, “Are there rules you are expected to follow?”, “Has the pressure increased?”, “What are you being asked to prove?”, and “What would make the next step safer?” These questions may identify coercion before a person calls themselves a victim or before an incident reaches a criminal or disciplinary threshold.</w:t>
      </w:r>
    </w:p>
    <w:p w14:paraId="5E3D0680" w14:textId="09C59FBC" w:rsidR="00605894" w:rsidRDefault="00605894" w:rsidP="00605894">
      <w:r>
        <w:t>Technology-facilitated abuse must be part of mainstream prevention. The same patterns can be amplified through monitoring, demands for passwords or images, location tracking, group-chat exclusion, threats to publish private material, impersonation, manipulated images and pressure delivered at all hours. Education should teach people to recognise coercive demands, preserve evidence safely, seek help without shame and understand that consent obtained through threat, manipulation or fear is not freely given. Online platforms should provide clearer reporting pathways and faster responses to image-based abuse, surveillance and repeated harassment.</w:t>
      </w:r>
    </w:p>
    <w:p w14:paraId="3E807F8B" w14:textId="7D8DB0A2" w:rsidR="00605894" w:rsidRDefault="00605894" w:rsidP="00605894">
      <w:r>
        <w:t>Emerging harms—including artificially generated sexual images, online misogyny, digital financial abuse and the use of children’s devices to monitor a parent—require adaptable prevention. Technology changes quickly, but pressure, obligation, isolation and retaliation remain recognisable.</w:t>
      </w:r>
    </w:p>
    <w:p w14:paraId="25949BA7" w14:textId="3FBE1FAD" w:rsidR="00605894" w:rsidRDefault="00605894" w:rsidP="00605894">
      <w:r>
        <w:t>Prevention must also be culturally safe and co-designed. Aboriginal and Torres Strait Islander communities should be resourced to lead community-controlled approaches that recognise culture, kinship, local strengths and the effects of colonisation, racism and institutional harm. Resources should also be designed with culturally and linguistically diverse communities, LGBTQIA+ people, people with disability, regional and remote communities, older people and young people. Examples may differ, but the principles of choice, safety, dignity, accountability and freedom from coercion remain relevant.</w:t>
      </w:r>
    </w:p>
    <w:p w14:paraId="709929ED" w14:textId="7BD20E2E" w:rsidR="00605894" w:rsidRDefault="00605894" w:rsidP="00605894">
      <w:r>
        <w:t xml:space="preserve">The Second Action Plan could support independently evaluated Maggie’s Legacy pilots in schools, sporting clubs, workplaces, health and community services. These pilots should complement—not replace—established respectful relationships education, </w:t>
      </w:r>
      <w:r>
        <w:lastRenderedPageBreak/>
        <w:t>specialist domestic violence services, legal protections and evidence-based risk assessment. Evaluation could examine whether participants recognise pressure earlier, describe patterns more clearly, respond with less blame, identify applicable standards, de-escalate more safely and seek support before harm escalates.</w:t>
      </w:r>
    </w:p>
    <w:p w14:paraId="4143E73E" w14:textId="4476EEDA" w:rsidR="00605894" w:rsidRDefault="00605894" w:rsidP="00605894">
      <w:r>
        <w:t xml:space="preserve">A train-the-trainer model and accessible resources could build shared capability while allowing local adaptation. People should not have to learn a new language for the same pattern each time they move between school, work, community services, police, health care and </w:t>
      </w:r>
      <w:proofErr w:type="spellStart"/>
      <w:proofErr w:type="gramStart"/>
      <w:r>
        <w:t>courts.An</w:t>
      </w:r>
      <w:proofErr w:type="spellEnd"/>
      <w:proofErr w:type="gramEnd"/>
      <w:r>
        <w:t xml:space="preserve"> AI Bot is in currently being tested that is proving positive in early testing </w:t>
      </w:r>
    </w:p>
    <w:p w14:paraId="714877C3" w14:textId="21B5E9A7" w:rsidR="00605894" w:rsidRDefault="00605894" w:rsidP="00605894">
      <w:r>
        <w:t>Maggie’s Legacy bridges prevention values and practical action. It shows how respect can be replaced by pressure, how pressure creates a cage, and how people and systems can return to standards before conflict becomes entrenched or dangerous. Shared across governments, communities, schools, workplaces and services, this language can support earlier recognition, consistent responses, safe de-escalation and intervention before control progresses to serious violence.</w:t>
      </w:r>
    </w:p>
    <w:p w14:paraId="03A1560C" w14:textId="77777777" w:rsidR="00605894" w:rsidRDefault="00605894" w:rsidP="00605894">
      <w:r>
        <w:t>The same pattern may appear on different fields, but the prevention message can remain consistent: make the invisible interaction visible, identify the pressure, return to the standard, and choose the safest next step. This is how prevention can move beyond awareness and become a practical capability from the classroom to the courtroom.</w:t>
      </w:r>
    </w:p>
    <w:p w14:paraId="39134E48" w14:textId="5AED9F80" w:rsidR="00605894" w:rsidRPr="00605894" w:rsidRDefault="00605894" w:rsidP="00605894">
      <w:pPr>
        <w:rPr>
          <w:b/>
          <w:bCs/>
        </w:rPr>
      </w:pPr>
      <w:r w:rsidRPr="00605894">
        <w:rPr>
          <w:b/>
          <w:bCs/>
        </w:rPr>
        <w:t>Feedback for Priority Area 3: Children and young people in their own right</w:t>
      </w:r>
    </w:p>
    <w:p w14:paraId="74AAA90F" w14:textId="690CE423" w:rsidR="00605894" w:rsidRDefault="00605894" w:rsidP="00605894">
      <w:r>
        <w:t>Priority Area 3 should recognise children and young people as victim-survivors and experts in their own experience—not simply as witnesses to adult violence. The biggest difference would come from giving them a practical, age-appropriate way to recognise pressure before it becomes crisis, describe what is happening without shame, and identify safe next steps. Messages such as “respect others” or “just say no” are important, but not enough when a young person believes that saying no will lead to rejection, humiliation, exclusion, image-sharing, violence or loss of status.</w:t>
      </w:r>
    </w:p>
    <w:p w14:paraId="610A20CB" w14:textId="2E990F79" w:rsidR="00605894" w:rsidRDefault="00605894" w:rsidP="00605894">
      <w:r>
        <w:t>Maggie’s Legacy was developed through lived experience and more than a decade of frontline domestic violence counselling. It is a practical framework that makes the invisible mechanics of coercive control visible through everyday language and behaviour. It does not ask a child to diagnose another person or disclose their whole story. It helps them ask: What am I being asked to prove? What may happen if I say no? Am I being offered a genuine choice, or being made responsible for someone else’s reaction? Do I feel I am contributing, or do I feel controlled?</w:t>
      </w:r>
    </w:p>
    <w:p w14:paraId="71EB8ECE" w14:textId="40F358FE" w:rsidR="00605894" w:rsidRDefault="00605894" w:rsidP="00605894">
      <w:r>
        <w:t xml:space="preserve">The framework distinguishes relational language from transactional pressure. Relational language is grounded in respect, empathy, choice, shared responsibility and the ability to disagree safely. Transactional pressure turns friendship, love, belonging or </w:t>
      </w:r>
      <w:r>
        <w:lastRenderedPageBreak/>
        <w:t>loyalty into a condition: “If you loved me, you would…”, “If you were really my mate…”, “Send me a picture to prove it”, “Give me your password”, or “If you tell anyone, you will ruin everything.” These phrases can sound like affection, humour or loyalty, but may create obligation and remove genuine choice.</w:t>
      </w:r>
    </w:p>
    <w:p w14:paraId="493FAE09" w14:textId="52A9DF6A" w:rsidR="00605894" w:rsidRDefault="00605894" w:rsidP="00605894">
      <w:r>
        <w:t>Maggie’s Legacy describes the resulting experience as the Psychological Cage. A young person may feel that both options are unsafe: comply and betray themselves, or refuse and risk losing the relationship, friendship group, status, privacy or physical safety. This helps explain why a child may say “yes” while wanting to say “no”, defend the person pressuring them, delete evidence, withdraw a disclosure or appear inconsistent. These responses may be attempts to manage danger and belonging, not consent, poor judgement or unwillingness to engage.</w:t>
      </w:r>
    </w:p>
    <w:p w14:paraId="65D08B5B" w14:textId="59ECC8DD" w:rsidR="00605894" w:rsidRDefault="00605894" w:rsidP="00605894">
      <w:r>
        <w:t>The Bunker is the framework’s practical safety response. It means stepping outside the personal pressure and returning to a standard: consent, respect, school policy, the law, team rules, online safety, personal values and the right to seek help. The aim is not to win an argument or confront someone who may retaliate. It is to identify a safe “line, person and space”: the words to use, the trusted person to contact, and where the young person is safest. A response may be direct</w:t>
      </w:r>
      <w:proofErr w:type="gramStart"/>
      <w:r>
        <w:t>—“</w:t>
      </w:r>
      <w:proofErr w:type="gramEnd"/>
      <w:r>
        <w:t>I’m not doing that”—or may involve delaying, leaving, blocking, saving evidence, changing location, contacting an adult or using a code word. Safety must be tailored to the risk the young person anticipates.</w:t>
      </w:r>
    </w:p>
    <w:p w14:paraId="016C9762" w14:textId="6BE29A94" w:rsidR="00605894" w:rsidRDefault="00605894" w:rsidP="00605894">
      <w:r>
        <w:t>The two Maggie’s Legacy youth concept visuals, described here because they cannot be attached to this submission, show how the same pattern can be taught in relevant language. The young men’s visual uses sport and team imagery. Every team has standards, and good teammates do not set each other up. It contrasts “we” language—respect, shared choice and safety—with “me” pressure such as “If you’re my mate, you have to…” The Cage is the feeling that complying is wrong but refusing risks status or belonging. The Bunker means stepping outside the play rather than fighting inside it. Prompts such as “Why though?”, “Says who?” and “Since when?” are paired with “my line, my person, my space.” Strength is not proven by accepting pressure; strong players recognise the play and step outside it.</w:t>
      </w:r>
    </w:p>
    <w:p w14:paraId="75BD6A98" w14:textId="6F5106DD" w:rsidR="00605894" w:rsidRDefault="00605894" w:rsidP="00605894">
      <w:r>
        <w:t>The young women’s visual uses dating, friendship, school and online communication. It shows pressure disguised as love: “If you love me, you’ll prove it”, “Just send a picture”, or “If you don’t…” Its central message is that real connection does not require proof and caring for someone should not require losing yourself. It moves from the Cage to the Bunker through standards such as “I respect myself”, “That’s not love”, “That’s not me” and “I’m not doing that.” Its closing image of young women supporting one another reinforces that safety and recovery grow through trusted peers, adults and community—not isolation.</w:t>
      </w:r>
    </w:p>
    <w:p w14:paraId="236A3F89" w14:textId="12814A18" w:rsidR="00605894" w:rsidRDefault="00605894" w:rsidP="00605894">
      <w:r>
        <w:lastRenderedPageBreak/>
        <w:t xml:space="preserve">Although the visuals use tailored entry points for young men and young women, the framework is not </w:t>
      </w:r>
      <w:proofErr w:type="gramStart"/>
      <w:r>
        <w:t>gender-exclusive</w:t>
      </w:r>
      <w:proofErr w:type="gramEnd"/>
      <w:r>
        <w:t xml:space="preserve">. It can be adapted for mixed groups, LGBTQIA+ young people, young people with disability, First Nations and culturally diverse communities, regional and remote settings, and different developmental stages. Co-design is </w:t>
      </w:r>
      <w:proofErr w:type="gramStart"/>
      <w:r>
        <w:t>essential</w:t>
      </w:r>
      <w:proofErr w:type="gramEnd"/>
      <w:r>
        <w:t xml:space="preserve"> so examples, accessibility, cultural authority and referral pathways are relevant and safe.</w:t>
      </w:r>
    </w:p>
    <w:p w14:paraId="27D0066B" w14:textId="05042D4D" w:rsidR="00605894" w:rsidRDefault="00605894" w:rsidP="00605894">
      <w:r>
        <w:t>Governments and services can improve recognition by listening closely to the language children use. Statements such as “I had to”, “I couldn’t say no”, “they will tell everyone”, “I’ll lose my friends”, “it was easier to do it”, or “it was my fault because I replied” may reveal coercion, fear or entrapment. Helpful questions include: “What do you think would happen if you said no?”, “What rules do they expect you to follow?”, “Has the pressure changed?”, “Who knows?”, and “What would make the next step safer?” These are more useful than asking only why the child did not leave, block the person, report earlier or follow adult advice.</w:t>
      </w:r>
    </w:p>
    <w:p w14:paraId="0CD2C05D" w14:textId="0C4A8764" w:rsidR="00605894" w:rsidRDefault="00605894" w:rsidP="00605894">
      <w:r>
        <w:t>A shared Maggie’s Legacy language could connect schools, families, sporting clubs, health services, youth services, police and specialist services. A teacher may hear, “If I don’t do it, I’ll be kicked out of the group.” A counsellor may hear, “I knew it was wrong, but I didn’t have a choice.” Police may receive a report about threats to distribute an image. These should not be treated as unrelated incidents. The pattern, anticipated consequence and young person’s knowledge of the other person should inform risk assessment and safety planning.</w:t>
      </w:r>
    </w:p>
    <w:p w14:paraId="537938A1" w14:textId="2238C572" w:rsidR="00605894" w:rsidRDefault="00605894" w:rsidP="00605894">
      <w:r>
        <w:t>Technology-facilitated abuse should be embedded throughout the Second Action Plan, not treated as a separate digital issue. The same pattern can operate through demands for intimate images, passwords or location sharing, constant messaging, tracking, threats to expose information, group-chat humiliation, impersonation, manipulated sexualised images, gaming platforms and online exclusion. Education should move beyond “do not send” messages, which can blame the child who was pressured. Young people need to know that coercion can remove genuine choice, image-based threats are control, evidence can be preserved safely, and seeking help should not result in blame or automatic loss of technology.</w:t>
      </w:r>
    </w:p>
    <w:p w14:paraId="45966D46" w14:textId="76FB7024" w:rsidR="00605894" w:rsidRDefault="00605894" w:rsidP="00605894">
      <w:r>
        <w:t xml:space="preserve">For children and young people using violence or displaying harmful sexual behaviours, accountability must be clear, early and developmentally appropriate. Maggie’s Legacy supports naming the behaviour and impact without reducing the child to a permanent label. The young person should be helped to recognise entitlement or pressure in their language, understand the effect on the other person, stop the behaviour, accept boundaries, repair harm </w:t>
      </w:r>
      <w:proofErr w:type="gramStart"/>
      <w:r>
        <w:t>where</w:t>
      </w:r>
      <w:proofErr w:type="gramEnd"/>
      <w:r>
        <w:t xml:space="preserve"> safe and practise alternatives. Trauma, exposure to violence, harmful online content, disability, developmental needs or previous victimisation may explain behaviour, but must not excuse harm or displace the safety of </w:t>
      </w:r>
      <w:r>
        <w:lastRenderedPageBreak/>
        <w:t>the child harmed. Responses should involve specialist services and consider age, development, consent, coercion, power imbalance, repetition, escalation and risk.</w:t>
      </w:r>
    </w:p>
    <w:p w14:paraId="6D865EF2" w14:textId="270A0B18" w:rsidR="00605894" w:rsidRDefault="00605894" w:rsidP="00605894">
      <w:r>
        <w:t>Recovery requires more than crisis intervention. Children need opportunities to rebuild trust in their judgement, understand that appeasement may have been a survival response, reconnect with safe adults and peers, and regain control over privacy, education and social participation. Support should avoid repeated retelling across agencies. A coordinated plan should identify what the child wants and fears, what adults must do, what information will be shared and how safety will be reviewed.</w:t>
      </w:r>
    </w:p>
    <w:p w14:paraId="1B09CB4B" w14:textId="47584E7E" w:rsidR="00605894" w:rsidRDefault="00605894" w:rsidP="00605894">
      <w:r>
        <w:t>Children and young people should meaningfully shape the policies and programs affecting them. This should include paid and supported co-design, accessible and culturally safe consultation, anonymous options, and participation that does not require personal disclosure. Governments should hear from young people who were believed, those who were blamed, those who did not recognise the behaviour as abuse, those who used harm, and those excluded from mainstream services. Their language should inform education resources, disclosure pathways, service standards and evaluation.</w:t>
      </w:r>
    </w:p>
    <w:p w14:paraId="6C4EEF43" w14:textId="21C80926" w:rsidR="00605894" w:rsidRDefault="00605894" w:rsidP="00605894">
      <w:r>
        <w:t>Under Priority Area 3, the Second Action Plan should support independently evaluated Maggie’s Legacy pilots across schools, youth services and community or sporting settings, alongside established respectful relationships education, child protection and specialist services. Implementation should include workforce training, referral and escalation protocols, parent and carer resources, culturally adapted materials, technology-facilitated abuse content and measures developed with young people. Evaluation should examine whether participants recognise coercive language earlier, describe risk more clearly, identify safe supports, respond without victim-blaming, and better understand consent, accountability and respectful relationships.</w:t>
      </w:r>
    </w:p>
    <w:p w14:paraId="711606EC" w14:textId="77777777" w:rsidR="00605894" w:rsidRDefault="00605894" w:rsidP="00605894">
      <w:r>
        <w:t>The central contribution of Maggie’s Legacy is simple: children and young people need more than a warning that pressure is wrong. They need a map of how pressure works, how it becomes a cage, and how to step outside it safely. When the same practical language is understood from the classroom, sporting field and phone screen through to health, police and specialist services, young people are more likely to be recognised, believed and supported before harm escalates. This moves prevention beyond awareness and provides a usable pathway toward safety, recovery, accountability and wellbeing.</w:t>
      </w:r>
    </w:p>
    <w:p w14:paraId="2E5DC984" w14:textId="74B6F099" w:rsidR="00605894" w:rsidRPr="00605894" w:rsidRDefault="00605894" w:rsidP="00605894">
      <w:pPr>
        <w:rPr>
          <w:b/>
          <w:bCs/>
        </w:rPr>
      </w:pPr>
      <w:r w:rsidRPr="00605894">
        <w:rPr>
          <w:b/>
          <w:bCs/>
        </w:rPr>
        <w:t>Feedback for Priority Area 4: People who use violence</w:t>
      </w:r>
    </w:p>
    <w:p w14:paraId="7E8B9946" w14:textId="293913E5" w:rsidR="00605894" w:rsidRDefault="00605894" w:rsidP="00605894">
      <w:r>
        <w:t xml:space="preserve">The greatest opportunity for preventing violence is to intervene before pressure, entitlement and harmful attitudes become entrenched patterns. Responses must hold people who use violence accountable while keeping victim-survivor safety at the centre. Accountability should not begin only after an assault, police event or court order. </w:t>
      </w:r>
      <w:r>
        <w:lastRenderedPageBreak/>
        <w:t>People need practical help to recognise the language and behaviours that lead towards control and violence, and clear alternatives they can use in the moment.</w:t>
      </w:r>
    </w:p>
    <w:p w14:paraId="7FA0DBA1" w14:textId="0DBD0AD7" w:rsidR="00605894" w:rsidRDefault="00605894" w:rsidP="00605894">
      <w:r>
        <w:t>Maggie’s Legacy was developed through lived experience and more than a decade of domestic and family violence counselling. It identifies the mechanics of coercive control by making visible the language, behaviour, pressure and obligation hidden within everyday interactions. Although first developed to support victim-survivors, it can also help people who use violence recognise how they remove another person’s choice and transfer responsibility for their behaviour onto someone else.</w:t>
      </w:r>
    </w:p>
    <w:p w14:paraId="56DA858F" w14:textId="28559AFF" w:rsidR="00605894" w:rsidRDefault="00605894" w:rsidP="00605894">
      <w:r>
        <w:t>An accessible way of sharing Maggie’s Legacy with men is through a football analogy. Football provides familiar language for explaining rules, teamwork, pressure, consequences and accountability without minimising violence. The relationship becomes the playing field. People may have different needs, but neither is entitled to abandon the rules because they feel angry, rejected or challenged. The “Bunker” represents the written standards that remain in place regardless of emotion: consent, the law, court orders, professional and sporting codes, parenting responsibilities and the other person’s right to safety.</w:t>
      </w:r>
    </w:p>
    <w:p w14:paraId="52223E8F" w14:textId="1890F7C1" w:rsidR="00605894" w:rsidRDefault="00605894" w:rsidP="00605894">
      <w:r>
        <w:t>In this analogy, harmful behaviour is described as “the play” rather than the person’s permanent identity. This does not excuse the conduct; it makes it visible and open to challenge. A person can be asked: What play are you running? Are you asking, or attaching a punishment to the answer? Are you resolving a problem, or forcing the outcome you want? What happens when the other person says no? Do you respect the decision, or increase pressure until they comply?</w:t>
      </w:r>
    </w:p>
    <w:p w14:paraId="121F8396" w14:textId="0C7D7531" w:rsidR="00605894" w:rsidRDefault="00605894" w:rsidP="00605894">
      <w:r>
        <w:t>Maggie’s Legacy distinguishes relational language from transactional pressure. Relational language allows choice, disagreement, empathy and shared responsibility. Transactional language makes love, loyalty, money, children, sex, housing, reputation or belonging conditional. It may sound like: “If you loved me, you would…”, “If you were loyal…”, “You made me do this”, or “Do this and I will calm down.” The concern is the repeated pattern in which one person learns that safety depends on complying with another person’s unwritten rules.</w:t>
      </w:r>
    </w:p>
    <w:p w14:paraId="6C4FC1ED" w14:textId="4405969E" w:rsidR="00605894" w:rsidRDefault="00605894" w:rsidP="00605894">
      <w:r>
        <w:t>The football analogy helps men recognise that pressure disguised as loyalty is still pressure. “If you’re my mate, you’ll do it” may sound different from “If you love me, you’ll do it”, but both turn a relationship into a test the other person must pass. The framework asks men to move from “me” language—my rights, anger, reputation and immediate outcome—to “we” language, in which safety, respect and responsibility matter.</w:t>
      </w:r>
    </w:p>
    <w:p w14:paraId="17835A25" w14:textId="256FFF9F" w:rsidR="00605894" w:rsidRDefault="00605894" w:rsidP="00605894">
      <w:r>
        <w:t xml:space="preserve">The Psychological Cage describes the trap created for the person being pressured. If they comply, they may feel unsafe or controlled. If they refuse, they may anticipate punishment, humiliation, financial consequences, threats involving children, stalking or violence. Understanding this cage challenges claims that the victim “agreed”, “could </w:t>
      </w:r>
      <w:r>
        <w:lastRenderedPageBreak/>
        <w:t>have left” or “knew what I was like”. Compliance under fear or anticipated consequences is not a respectful choice.</w:t>
      </w:r>
    </w:p>
    <w:p w14:paraId="3A816597" w14:textId="54AE3088" w:rsidR="00605894" w:rsidRDefault="00605894" w:rsidP="00605894">
      <w:r>
        <w:t>For the person using violence, the Bunker means stepping outside the personal contest and returning to the rules. In football, a player cannot overturn a decision through intimidation because the outcome feels unfair. In relationships, anger, jealousy, intoxication, trauma, stress, cultural expectations or fear of abandonment do not create an entitlement to control another person. These factors may require treatment, but they do not excuse harm.</w:t>
      </w:r>
    </w:p>
    <w:p w14:paraId="09E92486" w14:textId="3988ACF8" w:rsidR="00605894" w:rsidRDefault="00605894" w:rsidP="00605894">
      <w:r>
        <w:t>A practical Bunker response can include stopping the interaction, creating physical distance, not following the victim-survivor, not taking or damaging a phone, not involving children, complying with protection orders, contacting an accountability person and using a pre-agreed regulation plan. “Stepping outside the play” interrupts escalation before further harm and allows the issue to be addressed through an appropriate process.</w:t>
      </w:r>
    </w:p>
    <w:p w14:paraId="1A6338A4" w14:textId="4B607E95" w:rsidR="00605894" w:rsidRDefault="00605894" w:rsidP="00605894">
      <w:r>
        <w:t>Maggie’s Legacy workshops using football-based language have already been delivered with men’s groups, football teams and frontline service providers. Participants and workers have reported beneficial results, including clearer recognition of pressure-based language, more constructive discussions about accountability and improved understanding of how ordinary interactions can create fear and control. These are encouraging practice-based observations, not a substitute for independent evidence. They support structured pilots and formal evaluation alongside specialist perpetrator-intervention expertise.</w:t>
      </w:r>
    </w:p>
    <w:p w14:paraId="42F4F024" w14:textId="4FE507D3" w:rsidR="00605894" w:rsidRDefault="00605894" w:rsidP="00605894">
      <w:r>
        <w:t>The framework should complement, not replace, accredited men’s behaviour change programs, specialist risk assessment, legal accountability, victim-survivor advocacy and coordinated case management. Workshop attendance should never be treated as proof that risk has reduced. Change must be demonstrated over time through behaviour, compliance, honesty, acceptance of consequences and victim-survivor safety—not promises or the language of insight.</w:t>
      </w:r>
    </w:p>
    <w:p w14:paraId="1FC3E52E" w14:textId="206A007F" w:rsidR="00605894" w:rsidRDefault="00605894" w:rsidP="00605894">
      <w:r>
        <w:t>Effective intervention should require people who use violence to identify the pattern, name the harm, stop blaming the victim and accept that intent does not erase impact. They should learn to recognise warning signs, challenge entitlement, tolerate rejection, regulate distress, respect boundaries and practise non-controlling responses. Minimising incidents, presenting coercive control as equal conflict or using therapeutic language to discredit the victim must be challenged.</w:t>
      </w:r>
    </w:p>
    <w:p w14:paraId="4887A6BE" w14:textId="1DA1CF9F" w:rsidR="00605894" w:rsidRDefault="00605894" w:rsidP="00605894">
      <w:r>
        <w:t xml:space="preserve">Families, communities, workplaces, sporting clubs and institutions can assist through earlier and more consistent responses. Coaches, employers, health workers and community leaders should recognise threats, possessiveness, monitoring, sexual pressure, humiliation, retaliation and repeated blame. They need clear referral </w:t>
      </w:r>
      <w:r>
        <w:lastRenderedPageBreak/>
        <w:t>pathways and safe limits. Informal mediation or couples-based problem solving may be unsafe where coercive control is present. The victim-survivor should not be required to participate in the other person’s accountability process.</w:t>
      </w:r>
    </w:p>
    <w:p w14:paraId="0EFE7DDB" w14:textId="63A6C52D" w:rsidR="00605894" w:rsidRDefault="00605894" w:rsidP="00605894">
      <w:r>
        <w:t xml:space="preserve">Sporting organisations have </w:t>
      </w:r>
      <w:proofErr w:type="gramStart"/>
      <w:r>
        <w:t>particular potential</w:t>
      </w:r>
      <w:proofErr w:type="gramEnd"/>
      <w:r>
        <w:t>. Team environments already teach that strength includes discipline, rules and responsibility to others. Clubs can reinforce that a strong response is not domination; it is recognising escalation, stepping outside the play and returning to the standard. This language can be used with junior players, senior teams, coaches, parents and supporters, together with specialist referral pathways.</w:t>
      </w:r>
    </w:p>
    <w:p w14:paraId="2723E44E" w14:textId="0FE734F4" w:rsidR="00605894" w:rsidRDefault="00605894" w:rsidP="00605894">
      <w:r>
        <w:t>Technology-facilitated abuse must also be addressed. Location monitoring, password demands, repeated messaging, account access, threats to distribute images, digital financial control and using children’s devices to gather information are expressions of coercive control. Intervention plans should cover device use, account access, image-based abuse, online harassment and no-contact conditions.</w:t>
      </w:r>
    </w:p>
    <w:p w14:paraId="6CB9C480" w14:textId="33E733CE" w:rsidR="00605894" w:rsidRDefault="00605894" w:rsidP="00605894">
      <w:r>
        <w:t>Culturally safe responses should be designed and led with the communities concerned. For Aboriginal and Torres Strait Islander men, programs should be community-controlled wherever possible and recognise culture, kinship, connection to Country, colonisation, racism, intergenerational trauma and community strengths. These factors provide important context for healing and engagement, but violence must still be named and victim-survivor safety protected. Aboriginal women’s and children’s voices must remain central to program design and risk management.</w:t>
      </w:r>
    </w:p>
    <w:p w14:paraId="7C5823D7" w14:textId="47BB4465" w:rsidR="00605894" w:rsidRDefault="00605894" w:rsidP="00605894">
      <w:r>
        <w:t>Approaches must also be accessible for culturally and linguistically diverse communities, LGBTQIA+ people, people with disability, young people, older people and regional or remote communities. This requires interpreters, disability access, local delivery and responses to visa-related, financial, carer and community-based control. Gender-responsive work with men should not erase women who use violence, men who are victim-survivors or violence in same-sex relationships.</w:t>
      </w:r>
    </w:p>
    <w:p w14:paraId="016D550A" w14:textId="763BB95E" w:rsidR="00605894" w:rsidRDefault="00605894" w:rsidP="00605894">
      <w:r>
        <w:t>The Second Action Plan should support independently evaluated Maggie’s Legacy pilots with men’s groups, football organisations, workplaces, correctional and community services, delivered with specialist domestic and family violence organisations. Evaluation should examine victim-survivor safety, behavioural change, compliance, reoffending and longer-term outcomes. Victim-survivor feedback must be gathered safely and never depend on direct participation with the person who used violence.</w:t>
      </w:r>
    </w:p>
    <w:p w14:paraId="5A64098B" w14:textId="77777777" w:rsidR="00605894" w:rsidRDefault="00605894" w:rsidP="00605894">
      <w:r>
        <w:t>Maggie’s Legacy offers a practical entry point into accountability. It helps a person see the play they are running, understand the cage it creates for someone else, and return to the Bunker of written rules and safety. The message is simple: you do not fight the standard, pressure another person to change the result, or blame them for your response. You step outside the harmful play, accept the ruling, take responsibility and choose behaviour that does not place another person in danger.</w:t>
      </w:r>
    </w:p>
    <w:p w14:paraId="7A1E63A1" w14:textId="77777777" w:rsidR="00605894" w:rsidRDefault="00605894" w:rsidP="00605894">
      <w:r>
        <w:lastRenderedPageBreak/>
        <w:t>Shared through men’s groups, sporting clubs, workplaces, services and communities, this approach can help identify harmful patterns earlier and provide practical alternatives before pressure escalates into violence. The measure of success is not whether the person using violence feels understood, but whether victim-survivors are safer and the harmful behaviour has stopped.</w:t>
      </w:r>
    </w:p>
    <w:p w14:paraId="27767D23" w14:textId="7F540C4C" w:rsidR="00605894" w:rsidRPr="00605894" w:rsidRDefault="00605894" w:rsidP="00605894">
      <w:pPr>
        <w:rPr>
          <w:b/>
          <w:bCs/>
        </w:rPr>
      </w:pPr>
      <w:r w:rsidRPr="00605894">
        <w:rPr>
          <w:b/>
          <w:bCs/>
        </w:rPr>
        <w:t>Feedback for Priority Area 5: System Integration and Workforce</w:t>
      </w:r>
    </w:p>
    <w:p w14:paraId="5D9B1FC5" w14:textId="5668C761" w:rsidR="00605894" w:rsidRDefault="00605894" w:rsidP="00605894">
      <w:r>
        <w:t>A major improvement to system integration would be a shared method for recognising coercive control wherever a victim-survivor or person using violence enters the system. Australia has important laws, services, risk tools and referral pathways, but they can remain disconnected unless workers understand how coercive control appears in everyday language and behaviour.</w:t>
      </w:r>
    </w:p>
    <w:p w14:paraId="6A18439A" w14:textId="0CB5B32D" w:rsidR="00605894" w:rsidRDefault="00605894" w:rsidP="00605894">
      <w:r>
        <w:t>I offer this feedback as a victim-survivor, counsellor and founder of Maggie’s Legacy, developed through lived experience and more than a decade of domestic and family violence counselling. The framework makes coercive control visible by identifying pressure, obligation, blame, fear, appeasement and anticipated consequences that may exist before a physical assault or formal intervention.</w:t>
      </w:r>
    </w:p>
    <w:p w14:paraId="05EB7F82" w14:textId="31A77E25" w:rsidR="00605894" w:rsidRDefault="00605894" w:rsidP="00605894">
      <w:r>
        <w:t>A central concern is the relationship between diagnosis and prognosis. “Diagnosis” is not used here as a clinical label. It means identifying the pattern operating within the relationship. If that pattern is not established, the system may also make an inaccurate prognosis about escalation, future risk and safety. Put simply: if we get the diagnosis wrong, we may also get the prognosis of safety wrong.</w:t>
      </w:r>
    </w:p>
    <w:p w14:paraId="7D903801" w14:textId="019F1F25" w:rsidR="00605894" w:rsidRDefault="00605894" w:rsidP="00605894">
      <w:r>
        <w:t>Coercive control is often missed when incidents are assessed separately. The pattern may instead be visible in the language of both parties. A victim-survivor may say, “I had to”, “I knew what would happen if I said no”, “I still love them” or “I was trying to keep the peace.” These statements may be misheard as consent, indecision or unwillingness to engage, when they may reveal entrapment, risk calculation and survival.</w:t>
      </w:r>
    </w:p>
    <w:p w14:paraId="3761122F" w14:textId="507A8FC7" w:rsidR="00605894" w:rsidRDefault="00605894" w:rsidP="00605894">
      <w:r>
        <w:t>The person using violence may say, “If you loved me, you would…”, “You made me do it” or “If you leave, you will lose everything.” The concern is the repeated pattern in which relationships, resources or safety are made conditional upon compliance.</w:t>
      </w:r>
    </w:p>
    <w:p w14:paraId="76DD0E88" w14:textId="2C5D4E6E" w:rsidR="00605894" w:rsidRDefault="00605894" w:rsidP="00605894">
      <w:r>
        <w:t>Failure to identify this pattern can distort safety planning. A victim-survivor may be advised to take an action that appears reasonable to a worker but is known by the victim to trigger retaliation. If they do not follow the advice, they may be labelled resistant or non-compliant when they may understand the danger more accurately than the system.</w:t>
      </w:r>
    </w:p>
    <w:p w14:paraId="646243E7" w14:textId="129693C0" w:rsidR="00605894" w:rsidRDefault="00605894" w:rsidP="00605894">
      <w:r>
        <w:t xml:space="preserve">This is why messages such as “say no to violence”, “stand up for yourself” and “set a boundary” require careful qualification. In an actively coercive relationship, saying no can be dangerous. A boundary is not automatically protective merely because it has </w:t>
      </w:r>
      <w:r>
        <w:lastRenderedPageBreak/>
        <w:t>been expressed. Where resistance is treated as a challenge to control, a refusal, confrontation, separation announcement or blocking of contact may increase risk.</w:t>
      </w:r>
    </w:p>
    <w:p w14:paraId="61875072" w14:textId="35AEF2A9" w:rsidR="00605894" w:rsidRDefault="00605894" w:rsidP="00605894">
      <w:r>
        <w:t>Maggie’s Legacy describes this as the Psychological Cage. The victim-survivor may feel trapped between two unsafe choices: comply and lose autonomy, or resist and risk punishment, violence, financial harm, threats involving children, humiliation or abandonment. Safety planning should explore what the victim believes will happen if they say no, what private rules they are expected to follow, what occurs when those rules are resisted and what would make the next step safer.</w:t>
      </w:r>
    </w:p>
    <w:p w14:paraId="1519549A" w14:textId="13A002EE" w:rsidR="00605894" w:rsidRDefault="00605894" w:rsidP="00605894">
      <w:r>
        <w:t>The Bunker: returning to written rules</w:t>
      </w:r>
    </w:p>
    <w:p w14:paraId="351A7097" w14:textId="7C9D2D83" w:rsidR="00605894" w:rsidRDefault="00605894" w:rsidP="00605894">
      <w:r>
        <w:t>The Maggie’s Legacy Bunker can be understood through a team-sport analogy. When a disputed play is referred to the Bunker, the outcome is not determined by which team argues most forcefully or whose interpretation prevails. The play is reviewed against the written rules.</w:t>
      </w:r>
    </w:p>
    <w:p w14:paraId="00B5AA8F" w14:textId="34E7FE9D" w:rsidR="00605894" w:rsidRDefault="00605894" w:rsidP="00605894">
      <w:r>
        <w:t>The Bunker serves the same purpose within the framework. It moves the response away from the personal contest between relational and transactional positions and returns it to an objective standard, such as legislation, consent, a protection order, professional duties, service protocols, parenting arrangements or child-safety responsibilities.</w:t>
      </w:r>
    </w:p>
    <w:p w14:paraId="07886110" w14:textId="431FA8F9" w:rsidR="00605894" w:rsidRDefault="00605894" w:rsidP="00605894">
      <w:r>
        <w:t>The Bunker is not an excuse for the person using violence or a method of persuading them to behave appropriately. It asks: What written rule applies? What risk is present? What response is required, and how can it be implemented as safely as possible?</w:t>
      </w:r>
    </w:p>
    <w:p w14:paraId="27095A66" w14:textId="30A22D6D" w:rsidR="00605894" w:rsidRDefault="00605894" w:rsidP="00605894">
      <w:r>
        <w:t>It does not require the victim-survivor to confront the person using violence, announce a boundary or personally enforce the standard. The victim-survivor may never communicate the Bunker reasoning directly. Instead, it guides the victim-survivor, services and relevant professionals in identifying the safest response.</w:t>
      </w:r>
    </w:p>
    <w:p w14:paraId="549C2E1B" w14:textId="58B587B0" w:rsidR="00605894" w:rsidRDefault="00605894" w:rsidP="00605894">
      <w:r>
        <w:t>The Bunker separates two questions often confused: What behaviour is unacceptable and what standard applies? What is the safest way and time to act upon that standard? The standard may be clear while its safest application requires careful planning. The response may involve immediate emergency intervention, or documentation, legal advice, device protection, financial security, accommodation, trusted support or carefully sequenced actions.</w:t>
      </w:r>
    </w:p>
    <w:p w14:paraId="00E2C0B9" w14:textId="472343A7" w:rsidR="00605894" w:rsidRDefault="00605894" w:rsidP="00605894">
      <w:r>
        <w:t>The Bunker is not a predetermined safety plan. It is the standards-based position from which options are assessed, protections identified and the safest realistic next step supported.</w:t>
      </w:r>
    </w:p>
    <w:p w14:paraId="51599640" w14:textId="2EE739E8" w:rsidR="00605894" w:rsidRDefault="00605894" w:rsidP="00605894">
      <w:r>
        <w:t>Combining professional and victim-survivor knowledge</w:t>
      </w:r>
    </w:p>
    <w:p w14:paraId="32A0B7AF" w14:textId="77A543C2" w:rsidR="00605894" w:rsidRDefault="00605894" w:rsidP="00605894">
      <w:r>
        <w:lastRenderedPageBreak/>
        <w:t>Services contribute knowledge of legislation, risk assessment, police pathways, protection orders and available supports. The victim-survivor contributes detailed knowledge of how the person using violence exercises control in private.</w:t>
      </w:r>
    </w:p>
    <w:p w14:paraId="34BED1F1" w14:textId="1A255873" w:rsidR="00605894" w:rsidRDefault="00605894" w:rsidP="00605894">
      <w:r>
        <w:t>Only the victim-survivor may understand the meaning of a particular look, silence, tone, accusation or change in routine. They may know what signals escalation, what has followed resistance, how help-seeking is monitored and what may occur if an intervention is discovered. This is perpetrator-specific safety intelligence developed through repeated exposure to the pattern.</w:t>
      </w:r>
    </w:p>
    <w:p w14:paraId="766D0780" w14:textId="25BEE7B4" w:rsidR="00605894" w:rsidRDefault="00605894" w:rsidP="00605894">
      <w:r>
        <w:t>Professional judgement, statutory duties and formal risk assessment remain essential, particularly where there is an immediate threat to life, health or safety. However, they should be exercised alongside—not instead of—the victim-survivor’s knowledge. Relocation, changed passwords, an apprehended violence order or separation may provide protection, but may also create an escalation point. The purpose is not to avoid these interventions, but to consider how they should be timed, supported and coordinated.</w:t>
      </w:r>
    </w:p>
    <w:p w14:paraId="7040F6D3" w14:textId="27CBB983" w:rsidR="00605894" w:rsidRDefault="00605894" w:rsidP="00605894">
      <w:r>
        <w:t>Maggie’s Legacy enables this knowledge to be explored by asking:</w:t>
      </w:r>
    </w:p>
    <w:p w14:paraId="0749E734" w14:textId="77777777" w:rsidR="00605894" w:rsidRDefault="00605894" w:rsidP="00605894">
      <w:r>
        <w:t>What pattern is operating, rather than only what incident occurred?</w:t>
      </w:r>
    </w:p>
    <w:p w14:paraId="393774C2" w14:textId="77777777" w:rsidR="00605894" w:rsidRDefault="00605894" w:rsidP="00605894">
      <w:r>
        <w:t>What private or unwritten rule is the victim-survivor expected to follow?</w:t>
      </w:r>
    </w:p>
    <w:p w14:paraId="1F86F92A" w14:textId="77777777" w:rsidR="00605894" w:rsidRDefault="00605894" w:rsidP="00605894">
      <w:r>
        <w:t>How was the rule learned, and what happens when it is resisted?</w:t>
      </w:r>
    </w:p>
    <w:p w14:paraId="18118D10" w14:textId="77777777" w:rsidR="00605894" w:rsidRDefault="00605894" w:rsidP="00605894">
      <w:r>
        <w:t>What does the victim-survivor anticipate will happen next?</w:t>
      </w:r>
    </w:p>
    <w:p w14:paraId="745D5941" w14:textId="77777777" w:rsidR="00605894" w:rsidRDefault="00605894" w:rsidP="00605894">
      <w:r>
        <w:t>What written rule, legal protection or service responsibility applies?</w:t>
      </w:r>
    </w:p>
    <w:p w14:paraId="3C360687" w14:textId="77777777" w:rsidR="00605894" w:rsidRDefault="00605894" w:rsidP="00605894">
      <w:r>
        <w:t>Could the proposed intervention reveal help-seeking or increase danger?</w:t>
      </w:r>
    </w:p>
    <w:p w14:paraId="0203A9C7" w14:textId="4D989741" w:rsidR="00605894" w:rsidRDefault="00605894" w:rsidP="00605894">
      <w:r>
        <w:t>What supports are needed, what is the safest next step, and when should it be reviewed?</w:t>
      </w:r>
    </w:p>
    <w:p w14:paraId="28F3D9C2" w14:textId="71EF6915" w:rsidR="00605894" w:rsidRDefault="00605894" w:rsidP="00605894">
      <w:r>
        <w:t>The service knows the available systems and supports. The victim-survivor knows the perpetrator, the private rules and the likely consequences. The Bunker brings these forms of knowledge together under written standards without displacing the victim-survivor’s judgement or making them responsible for managing the perpetrator.</w:t>
      </w:r>
    </w:p>
    <w:p w14:paraId="481FF0EF" w14:textId="089F4DFB" w:rsidR="00605894" w:rsidRDefault="00605894" w:rsidP="00605894">
      <w:r>
        <w:t>A shared pattern narrative and capable workforce</w:t>
      </w:r>
    </w:p>
    <w:p w14:paraId="0C6ADB7E" w14:textId="77777777" w:rsidR="00605894" w:rsidRDefault="00605894" w:rsidP="00605894">
      <w:r>
        <w:t>A coordinated system should create a shared pattern narrative, not merely accumulate incident reports. With informed consent and privacy protections, services should record the controlling pattern, what happens when the victim resists, escalation indicators, technology-facilitated abuse, threats, protective strategies and the victim-survivor’s forecast of what may happen next. This would reduce repeated retelling and allow services to build on existing knowledge.</w:t>
      </w:r>
    </w:p>
    <w:p w14:paraId="657DC326" w14:textId="627F59B1" w:rsidR="00605894" w:rsidRDefault="00605894" w:rsidP="00605894">
      <w:r>
        <w:lastRenderedPageBreak/>
        <w:t>The same pattern language should be understood across specialist and universal services. Different workers may each be seeing part of the same pattern and need a safe, lawful way to connect those parts.</w:t>
      </w:r>
    </w:p>
    <w:p w14:paraId="3ACE1C5C" w14:textId="4AA0CE64" w:rsidR="00605894" w:rsidRDefault="00605894" w:rsidP="00605894">
      <w:r>
        <w:t>Workforce capability must extend beyond awareness training. Workers need practical skills to identify patterns, ask non-judgemental questions, distinguish conflict from coercive control, understand the danger of resistance, respond to technology-facilitated abuse, document accurately, share information lawfully and develop safety plans without removing agency. They must also recognise when mediation, couples counselling, joint meetings or mutual-conflict framing may be unsafe.</w:t>
      </w:r>
    </w:p>
    <w:p w14:paraId="20DB0182" w14:textId="161AAC2C" w:rsidR="00605894" w:rsidRDefault="00605894" w:rsidP="00605894">
      <w:r>
        <w:t>Universal services need clear pathways to specialist consultation. Specialist services need sustainable funding, culturally safe staffing, reflective supervision and time for pattern-based assessment. Frontline workers also require secondary-trauma support and cultures that permit concerns to be escalated without blame.</w:t>
      </w:r>
    </w:p>
    <w:p w14:paraId="795FD2E9" w14:textId="184BBF4C" w:rsidR="00605894" w:rsidRDefault="00605894" w:rsidP="00605894">
      <w:r>
        <w:t>Responses should be co-designed with Aboriginal and Torres Strait Islander communities and adapted for diverse communities, including people with disability, LGBTQIA+ people and people in regional and remote areas. Consistency must not become a one-size-fits-all response.</w:t>
      </w:r>
    </w:p>
    <w:p w14:paraId="4F35AA69" w14:textId="2CF679A3" w:rsidR="00605894" w:rsidRDefault="00605894" w:rsidP="00605894">
      <w:r>
        <w:t>The Second Action Plan should support independently evaluated Maggie’s Legacy pilots across specialist and universal services. These should complement existing legal responses, risk assessment and specialist expertise. Evaluation should examine whether workers identify coercive patterns earlier, reduce victim-blaming, recognise unsafe advice and develop safety plans that better reflect victim-survivor knowledge.</w:t>
      </w:r>
    </w:p>
    <w:p w14:paraId="47D7483E" w14:textId="77777777" w:rsidR="00605894" w:rsidRDefault="00605894" w:rsidP="00605894">
      <w:r>
        <w:t>The most important system question is not simply, “Why didn’t the victim say no?” It is, “What did the victim believe would happen if they did?” Correctly identifying the mechanics of coercive control is the foundation of a more accurate safety prognosis. When the pattern is visible, services can move from isolated incidents to coordinated, informed and tailored safety planning without blaming the victim-survivor or unintentionally increasing danger.</w:t>
      </w:r>
    </w:p>
    <w:p w14:paraId="4BEF7A7B" w14:textId="6F6ABB6F" w:rsidR="00605894" w:rsidRPr="00605894" w:rsidRDefault="00605894" w:rsidP="00605894">
      <w:pPr>
        <w:rPr>
          <w:b/>
          <w:bCs/>
        </w:rPr>
      </w:pPr>
      <w:r w:rsidRPr="00605894">
        <w:rPr>
          <w:b/>
          <w:bCs/>
        </w:rPr>
        <w:t>Are there any other actions you think should be a priority to stop family, domestic and sexual violence?</w:t>
      </w:r>
    </w:p>
    <w:p w14:paraId="598222C5" w14:textId="28FB4E16" w:rsidR="00605894" w:rsidRDefault="00605894" w:rsidP="00605894">
      <w:r>
        <w:t>A further priority should be to make practical identification of coercive control a core capability across prevention, first disclosure, crisis response and recovery. Australia has increasingly recognised coercive control as a pattern of abusive behaviour used over time to establish and maintain power and dominance. The implementation gap is whether workers can identify that pattern in everyday language and behaviour, then use it to forecast risk and plan safely.</w:t>
      </w:r>
    </w:p>
    <w:p w14:paraId="707CB25C" w14:textId="77777777" w:rsidR="00605894" w:rsidRDefault="00605894" w:rsidP="00605894">
      <w:r>
        <w:lastRenderedPageBreak/>
        <w:t>I offer this recommendation as a victim-survivor, counsellor and founder of Maggie’s Legacy, developed through lived experience and more than a decade of domestic and family violence counselling. The framework makes the hidden mechanics of coercive control visible by examining private rules, conditional love or loyalty, pressure, blame, fear, appeasement and anticipated consequences.</w:t>
      </w:r>
    </w:p>
    <w:p w14:paraId="7428A7A5" w14:textId="0A402ACF" w:rsidR="00605894" w:rsidRDefault="00605894" w:rsidP="00605894">
      <w:r>
        <w:t xml:space="preserve">The central policy principle should </w:t>
      </w:r>
      <w:proofErr w:type="gramStart"/>
      <w:r>
        <w:t>be:</w:t>
      </w:r>
      <w:proofErr w:type="gramEnd"/>
      <w:r>
        <w:t xml:space="preserve"> diagnosis before prognosis. “Diagnosis” is not used here as a clinical label. It means accurately identifying the pattern operating within the relationship. “Prognosis” means the informed forecast of likely escalation, future harm and the safest available response. When the pattern is misidentified, the safety prognosis may also be wrong.</w:t>
      </w:r>
    </w:p>
    <w:p w14:paraId="5E65D31F" w14:textId="5AB6ECD0" w:rsidR="00605894" w:rsidRDefault="00605894" w:rsidP="00605894">
      <w:r>
        <w:t xml:space="preserve">A victim-survivor may say, “I know he was violent, but it was my fault and I still love him.” An incident-based response may hear contradiction, minimisation or ambivalence. A pattern-based response asks: What expectation had been imposed? How had love </w:t>
      </w:r>
      <w:proofErr w:type="gramStart"/>
      <w:r>
        <w:t>become</w:t>
      </w:r>
      <w:proofErr w:type="gramEnd"/>
      <w:r>
        <w:t xml:space="preserve"> conditional upon compliance? What happened previously when the victim-survivor refused? What informed their prediction of the consequences? What did compliance prevent in that moment? What risk may arise if they now act differently?</w:t>
      </w:r>
    </w:p>
    <w:p w14:paraId="40CEA751" w14:textId="36A7C872" w:rsidR="00605894" w:rsidRDefault="00605894" w:rsidP="00605894">
      <w:r>
        <w:t>This requires a change in the starting question. Rather than asking, “Why did the victim agree, stay, return, withdraw or remain in contact?”, the system should ask:</w:t>
      </w:r>
    </w:p>
    <w:p w14:paraId="3433F6A9" w14:textId="5DC191EF" w:rsidR="00605894" w:rsidRDefault="00605894" w:rsidP="00605894">
      <w:r>
        <w:t>“What conditions did the person using violence create that made this response feel necessary, safer or more manageable than the available alternatives?”</w:t>
      </w:r>
    </w:p>
    <w:p w14:paraId="0728E1AB" w14:textId="66085377" w:rsidR="00605894" w:rsidRDefault="00605894" w:rsidP="00605894">
      <w:r>
        <w:t>That question can be explored by identifying the private or unwritten rules operating in the relationship, how they were communicated and enforced, what occurred when they were resisted, and what the victim-survivor believed would happen if they did not comply.</w:t>
      </w:r>
    </w:p>
    <w:p w14:paraId="569FD7D8" w14:textId="6876EDAB" w:rsidR="00605894" w:rsidRDefault="00605894" w:rsidP="00605894">
      <w:r>
        <w:t>Coercive control often operates through terms and conditions attached to love, sex, children, money, housing, reputation, culture, faith, communication or safety. It may be expressed as, “If you loved me, you would…”, “You made me do this”, or “If you leave, you will lose everything.” The issue is not one statement in isolation. It is the repeated course of conduct through which the victim-survivor learns that disagreement carries a consequence.</w:t>
      </w:r>
    </w:p>
    <w:p w14:paraId="2232CB4B" w14:textId="3588B979" w:rsidR="00605894" w:rsidRDefault="00605894" w:rsidP="00605894">
      <w:r>
        <w:t>Maggie’s Legacy describes the resulting experience as the Psychological Cage. The person may feel that both available choices are unsafe: comply and lose autonomy, or resist and risk retaliation, humiliation, financial harm, threats involving children, sexual violence, stalking or physical assault. What appears externally as agreement, silence, returning to the relationship or remaining in contact may therefore have been a risk-management response rather than free choice.</w:t>
      </w:r>
    </w:p>
    <w:p w14:paraId="4F54FCB7" w14:textId="59403690" w:rsidR="00605894" w:rsidRDefault="00605894" w:rsidP="00605894">
      <w:r>
        <w:lastRenderedPageBreak/>
        <w:t>This distinction is also essential in sexual violence responses. Consent cannot be understood only by whether a person verbally agreed or did not physically resist. Services must examine whether sexual access was secured through fear, threats, emotional punishment, financial dependence, reproductive coercion, image-based abuse or the anticipated consequences of refusal.</w:t>
      </w:r>
    </w:p>
    <w:p w14:paraId="7F040409" w14:textId="0F7A29D4" w:rsidR="00605894" w:rsidRDefault="00605894" w:rsidP="00605894">
      <w:r>
        <w:t>Victim-survivor language is not merely background information. It may be evidence of the pattern and perpetrator-specific safety intelligence. Statements such as “I had to”, “I knew what would happen”, “It was easier to agree” or “I was trying to keep the peace” can reveal what the person using violence expects, how resistance has been answered, what consequence is anticipated and what the victim-survivor has learned to do to prevent escalation.</w:t>
      </w:r>
    </w:p>
    <w:p w14:paraId="3C89D96F" w14:textId="5CA352A0" w:rsidR="00605894" w:rsidRDefault="00605894" w:rsidP="00605894">
      <w:r>
        <w:t>This information is vital before a safety intervention is recommended. Relocation, changed passwords, a new telephone, a protection order, blocking contact, separation or police involvement may each be protective. They may also expose help-seeking, remove a strategy the victim has been using to monitor danger or provoke escalation if poorly timed. The purpose is not to avoid these interventions, but to test and sequence them against the identified pattern.</w:t>
      </w:r>
    </w:p>
    <w:p w14:paraId="0776C2E5" w14:textId="00A5AF34" w:rsidR="00605894" w:rsidRDefault="00605894" w:rsidP="00605894">
      <w:r>
        <w:t>Public messages such as “say no to violence”, “stand up for yourself” and “set a boundary” must also be qualified. In an actively coercive relationship, saying no can be dangerous. A boundary is not protective simply because it has been expressed. Where resistance is treated as a threat to control, confrontation may increase risk. The safer question is not, “Why didn’t the victim say no?” It is:</w:t>
      </w:r>
    </w:p>
    <w:p w14:paraId="3BB02A4A" w14:textId="6F3F00A8" w:rsidR="00605894" w:rsidRDefault="00605894" w:rsidP="00605894">
      <w:r>
        <w:t>“What did the victim believe would happen if they did?”</w:t>
      </w:r>
    </w:p>
    <w:p w14:paraId="3F135FD1" w14:textId="5F0911A9" w:rsidR="00605894" w:rsidRDefault="00605894" w:rsidP="00605894">
      <w:r>
        <w:t>The Maggie’s Legacy Bunker supports the next stage of the response. Using a team-sport analogy, a disputed play is referred away from competing personal positions and reviewed against the written rules. In the same way, the Bunker returns the response to objective standards such as the law, consent, protection orders, professional duties, service protocols and child-safety obligations.</w:t>
      </w:r>
    </w:p>
    <w:p w14:paraId="3AF67DA3" w14:textId="79F763AC" w:rsidR="00605894" w:rsidRDefault="00605894" w:rsidP="00605894">
      <w:r>
        <w:t>The Bunker does not require the victim-survivor to confront the person using violence, announce a boundary or personally enforce the standard. It separates two questions:</w:t>
      </w:r>
    </w:p>
    <w:p w14:paraId="0859A1BF" w14:textId="22B7B12D" w:rsidR="00605894" w:rsidRDefault="00605894" w:rsidP="00605894">
      <w:r>
        <w:t>What behaviour is unacceptable and what written standard applies?</w:t>
      </w:r>
    </w:p>
    <w:p w14:paraId="7362B0EC" w14:textId="7C14D034" w:rsidR="00605894" w:rsidRDefault="00605894" w:rsidP="00605894">
      <w:r>
        <w:t>What is the safest way and time to act upon that standard?</w:t>
      </w:r>
    </w:p>
    <w:p w14:paraId="6BA6DCD5" w14:textId="45845852" w:rsidR="00605894" w:rsidRDefault="00605894" w:rsidP="00605894">
      <w:r>
        <w:t>The rule may be clear while its safest implementation requires planning, formal protection and coordinated support.</w:t>
      </w:r>
    </w:p>
    <w:p w14:paraId="7B72C4EC" w14:textId="77777777" w:rsidR="00605894" w:rsidRDefault="00605894" w:rsidP="00605894">
      <w:r>
        <w:t xml:space="preserve">Effective safety planning combines two forms of expertise. Services contribute knowledge of legislation, formal risk assessment, police pathways, housing, health </w:t>
      </w:r>
      <w:r>
        <w:lastRenderedPageBreak/>
        <w:t>care, legal protections and financial assistance. The victim-survivor contributes knowledge of the perpetrator’s private rules, escalation signs, monitoring practices and likely reactions. Professional judgement and statutory duties remain essential, particularly where there is immediate danger, but they should operate alongside—not in place of—the victim-survivor’s knowledge.</w:t>
      </w:r>
    </w:p>
    <w:p w14:paraId="4AFC8ABF" w14:textId="013D1E54" w:rsidR="00605894" w:rsidRDefault="00605894" w:rsidP="00605894">
      <w:r>
        <w:t xml:space="preserve">Common operational errors show why </w:t>
      </w:r>
      <w:proofErr w:type="gramStart"/>
      <w:r>
        <w:t>this matters</w:t>
      </w:r>
      <w:proofErr w:type="gramEnd"/>
      <w:r>
        <w:t>. Incident-only assessment fragments a connected course of conduct and underestimates risk. Treating compliance as consent mistakes fear-based agreement for free choice. Treating changing decisions as unreliability misses dynamic safety calculations. Framing reactive conduct as mutual violence can obscure the predominant pattern and misidentify the victim-survivor. Treating separation as the end of abuse overlooks post-separation pursuit and systems abuse. Treating distress only as a therapeutic issue may substitute counselling for protection, while treating referral as the outcome allows high activity to coexist with poor safety.</w:t>
      </w:r>
    </w:p>
    <w:p w14:paraId="6CA24B12" w14:textId="20C13C82" w:rsidR="00605894" w:rsidRDefault="00605894" w:rsidP="00605894">
      <w:r>
        <w:t>The Second Action Plan should therefore prioritise:</w:t>
      </w:r>
    </w:p>
    <w:p w14:paraId="2926ECB9" w14:textId="77777777" w:rsidR="00605894" w:rsidRDefault="00605894" w:rsidP="00605894">
      <w:r>
        <w:t>A shared, pattern-based coercive-control capability across specialist and universal services, supported by practical questions, documentation standards and supervision—not awareness training alone.</w:t>
      </w:r>
    </w:p>
    <w:p w14:paraId="5554405C" w14:textId="77777777" w:rsidR="00605894" w:rsidRDefault="00605894" w:rsidP="00605894">
      <w:r>
        <w:t>A “pattern narrative” within risk assessment and safety planning that records the private rules, methods of enforcement, consequences of resistance, escalation indicators, technology-facilitated abuse, protective strategies and the victim-survivor’s forecast of what may happen next.</w:t>
      </w:r>
    </w:p>
    <w:p w14:paraId="1C35EA62" w14:textId="77777777" w:rsidR="00605894" w:rsidRDefault="00605894" w:rsidP="00605894">
      <w:r>
        <w:t>Safety-testing every proposed intervention against the identified pattern. Services should ask whether an action could reveal help-seeking, intensify retaliation or remove an existing protective strategy.</w:t>
      </w:r>
    </w:p>
    <w:p w14:paraId="5B6D66B9" w14:textId="77777777" w:rsidR="00605894" w:rsidRDefault="00605894" w:rsidP="00605894">
      <w:r>
        <w:t>Stronger predominant-aggressor identification so reactive conduct, distress or the most visible recent incident does not result in the victim-survivor being misidentified.</w:t>
      </w:r>
    </w:p>
    <w:p w14:paraId="0F0ABF18" w14:textId="77777777" w:rsidR="00605894" w:rsidRDefault="00605894" w:rsidP="00605894">
      <w:r>
        <w:t>Recognition that separation may change or escalate the pattern rather than end it. Post-separation pursuit, systems abuse, threats through children, financial control, stalking and technology-facilitated abuse must remain central to assessment.</w:t>
      </w:r>
    </w:p>
    <w:p w14:paraId="2A51C72C" w14:textId="77777777" w:rsidR="00605894" w:rsidRDefault="00605894" w:rsidP="00605894">
      <w:r>
        <w:t>Consistent capability across health, education, policing, courts, child protection, housing, workplaces and community services so the pattern is recognised wherever a person first discloses.</w:t>
      </w:r>
    </w:p>
    <w:p w14:paraId="66A16224" w14:textId="303AFF5A" w:rsidR="00605894" w:rsidRDefault="00605894" w:rsidP="00605894">
      <w:r>
        <w:t>Independently evaluated Maggie’s Legacy pilots across these entry points, complementing existing specialist services, legal frameworks and risk tools. Evaluation should examine earlier recognition, reduced victim-blaming, safer sequencing and improved safety.</w:t>
      </w:r>
    </w:p>
    <w:p w14:paraId="02CEAA9A" w14:textId="6262E08B" w:rsidR="00605894" w:rsidRDefault="00605894" w:rsidP="00605894">
      <w:r>
        <w:lastRenderedPageBreak/>
        <w:t xml:space="preserve">There is a </w:t>
      </w:r>
      <w:proofErr w:type="gramStart"/>
      <w:r>
        <w:t>long hidden</w:t>
      </w:r>
      <w:proofErr w:type="gramEnd"/>
      <w:r>
        <w:t xml:space="preserve"> period between public awareness of domestic violence and the crisis at which abuse becomes visible to systems. During that period, victim-survivors may be navigating isolation, monitoring, emotional abuse, sexual pressure, financial restriction, threats and shame while attempting to preserve their family or relationship. Maggie’s Legacy is intended to operate in this gap: before crisis, at first disclosure and during formal safety planning.</w:t>
      </w:r>
    </w:p>
    <w:p w14:paraId="630FF58E" w14:textId="064D2993" w:rsidR="00605894" w:rsidRDefault="00605894" w:rsidP="00605894">
      <w:r>
        <w:t>The priority is not simply to increase referrals or tell victim-survivors to take stronger action. It is to correctly identify the coercive environment in which their decisions are being made. Once the operational diagnosis is accurate, services are better placed to forecast risk, apply the relevant written standards and develop a coordinated, realistic and safer prognosis.</w:t>
      </w:r>
    </w:p>
    <w:p w14:paraId="43812A18" w14:textId="5940ABF1" w:rsidR="00605894" w:rsidRPr="00605894" w:rsidRDefault="00605894" w:rsidP="00605894">
      <w:r>
        <w:t>Service activity alone is not the measure of success. The measure is whether the pattern has been understood and the victim-survivor is safer.</w:t>
      </w:r>
    </w:p>
    <w:sectPr w:rsidR="00605894" w:rsidRPr="006058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894"/>
    <w:rsid w:val="00022A23"/>
    <w:rsid w:val="0023679E"/>
    <w:rsid w:val="00605894"/>
    <w:rsid w:val="007872B5"/>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A9CDF"/>
  <w15:chartTrackingRefBased/>
  <w15:docId w15:val="{64A5EABD-DEB5-4FFD-BBF4-24128DB3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8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8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8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8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8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8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8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8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8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894"/>
    <w:rPr>
      <w:rFonts w:eastAsiaTheme="majorEastAsia" w:cstheme="majorBidi"/>
      <w:color w:val="272727" w:themeColor="text1" w:themeTint="D8"/>
    </w:rPr>
  </w:style>
  <w:style w:type="paragraph" w:styleId="Title">
    <w:name w:val="Title"/>
    <w:basedOn w:val="Normal"/>
    <w:next w:val="Normal"/>
    <w:link w:val="TitleChar"/>
    <w:uiPriority w:val="10"/>
    <w:qFormat/>
    <w:rsid w:val="00605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8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894"/>
    <w:pPr>
      <w:spacing w:before="160"/>
      <w:jc w:val="center"/>
    </w:pPr>
    <w:rPr>
      <w:i/>
      <w:iCs/>
      <w:color w:val="404040" w:themeColor="text1" w:themeTint="BF"/>
    </w:rPr>
  </w:style>
  <w:style w:type="character" w:customStyle="1" w:styleId="QuoteChar">
    <w:name w:val="Quote Char"/>
    <w:basedOn w:val="DefaultParagraphFont"/>
    <w:link w:val="Quote"/>
    <w:uiPriority w:val="29"/>
    <w:rsid w:val="00605894"/>
    <w:rPr>
      <w:i/>
      <w:iCs/>
      <w:color w:val="404040" w:themeColor="text1" w:themeTint="BF"/>
    </w:rPr>
  </w:style>
  <w:style w:type="paragraph" w:styleId="ListParagraph">
    <w:name w:val="List Paragraph"/>
    <w:basedOn w:val="Normal"/>
    <w:uiPriority w:val="34"/>
    <w:qFormat/>
    <w:rsid w:val="00605894"/>
    <w:pPr>
      <w:ind w:left="720"/>
      <w:contextualSpacing/>
    </w:pPr>
  </w:style>
  <w:style w:type="character" w:styleId="IntenseEmphasis">
    <w:name w:val="Intense Emphasis"/>
    <w:basedOn w:val="DefaultParagraphFont"/>
    <w:uiPriority w:val="21"/>
    <w:qFormat/>
    <w:rsid w:val="00605894"/>
    <w:rPr>
      <w:i/>
      <w:iCs/>
      <w:color w:val="0F4761" w:themeColor="accent1" w:themeShade="BF"/>
    </w:rPr>
  </w:style>
  <w:style w:type="paragraph" w:styleId="IntenseQuote">
    <w:name w:val="Intense Quote"/>
    <w:basedOn w:val="Normal"/>
    <w:next w:val="Normal"/>
    <w:link w:val="IntenseQuoteChar"/>
    <w:uiPriority w:val="30"/>
    <w:qFormat/>
    <w:rsid w:val="00605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894"/>
    <w:rPr>
      <w:i/>
      <w:iCs/>
      <w:color w:val="0F4761" w:themeColor="accent1" w:themeShade="BF"/>
    </w:rPr>
  </w:style>
  <w:style w:type="character" w:styleId="IntenseReference">
    <w:name w:val="Intense Reference"/>
    <w:basedOn w:val="DefaultParagraphFont"/>
    <w:uiPriority w:val="32"/>
    <w:qFormat/>
    <w:rsid w:val="006058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5DF344-6034-4A26-B70B-AA139A2E6901}"/>
</file>

<file path=customXml/itemProps2.xml><?xml version="1.0" encoding="utf-8"?>
<ds:datastoreItem xmlns:ds="http://schemas.openxmlformats.org/officeDocument/2006/customXml" ds:itemID="{7CF2100B-7B82-4067-9B27-66D3FDBF679B}"/>
</file>

<file path=customXml/itemProps3.xml><?xml version="1.0" encoding="utf-8"?>
<ds:datastoreItem xmlns:ds="http://schemas.openxmlformats.org/officeDocument/2006/customXml" ds:itemID="{E09C4458-CC17-43E2-83DC-D96270261E1F}"/>
</file>

<file path=docProps/app.xml><?xml version="1.0" encoding="utf-8"?>
<Properties xmlns="http://schemas.openxmlformats.org/officeDocument/2006/extended-properties" xmlns:vt="http://schemas.openxmlformats.org/officeDocument/2006/docPropsVTypes">
  <Template>Normal.dotm</Template>
  <TotalTime>7</TotalTime>
  <Pages>21</Pages>
  <Words>8738</Words>
  <Characters>49810</Characters>
  <Application>Microsoft Office Word</Application>
  <DocSecurity>0</DocSecurity>
  <Lines>415</Lines>
  <Paragraphs>116</Paragraphs>
  <ScaleCrop>false</ScaleCrop>
  <Company/>
  <LinksUpToDate>false</LinksUpToDate>
  <CharactersWithSpaces>58432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2026-09-04T01:41:00Z</dcterms:created>
  <dcterms:modified xsi:type="dcterms:W3CDTF">2026-09-04T01:48:00Z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