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FC2C" w14:textId="3C2A7BD7" w:rsidR="00ED4B9D" w:rsidRDefault="00DE2C95">
      <w:pPr>
        <w:spacing w:before="1640" w:after="200"/>
        <w:jc w:val="center"/>
      </w:pPr>
      <w:r w:rsidRPr="36767015">
        <w:rPr>
          <w:b/>
          <w:bCs/>
          <w:color w:val="1F4E79"/>
          <w:sz w:val="24"/>
          <w:szCs w:val="24"/>
        </w:rPr>
        <w:t xml:space="preserve"> </w:t>
      </w:r>
      <w:r w:rsidR="00BB179C" w:rsidRPr="36767015">
        <w:rPr>
          <w:b/>
          <w:bCs/>
          <w:color w:val="1F4E79"/>
          <w:sz w:val="24"/>
          <w:szCs w:val="24"/>
        </w:rPr>
        <w:t>SUBMISSION</w:t>
      </w:r>
    </w:p>
    <w:p w14:paraId="2ED4D224" w14:textId="77777777" w:rsidR="00ED4B9D" w:rsidRDefault="00BB179C">
      <w:pPr>
        <w:spacing w:after="200"/>
        <w:jc w:val="center"/>
      </w:pPr>
      <w:r>
        <w:rPr>
          <w:b/>
          <w:color w:val="17365D"/>
          <w:sz w:val="58"/>
        </w:rPr>
        <w:t>Second Action Plan</w:t>
      </w:r>
    </w:p>
    <w:p w14:paraId="358E84B9" w14:textId="77777777" w:rsidR="00ED4B9D" w:rsidRDefault="00BB179C">
      <w:pPr>
        <w:spacing w:after="560"/>
        <w:jc w:val="center"/>
      </w:pPr>
      <w:r>
        <w:rPr>
          <w:color w:val="5B6573"/>
          <w:sz w:val="30"/>
        </w:rPr>
        <w:t>National Plan to End Violence against Women and Children 2022–2032</w:t>
      </w:r>
    </w:p>
    <w:p w14:paraId="37867849" w14:textId="77777777" w:rsidR="00ED4B9D" w:rsidRDefault="00BB179C">
      <w:pPr>
        <w:spacing w:after="100"/>
        <w:jc w:val="center"/>
      </w:pPr>
      <w:r>
        <w:rPr>
          <w:b/>
          <w:color w:val="1F4E79"/>
          <w:sz w:val="28"/>
        </w:rPr>
        <w:t>Immigrant Women’s Support Service</w:t>
      </w:r>
    </w:p>
    <w:p w14:paraId="3CC16282" w14:textId="77777777" w:rsidR="00ED4B9D" w:rsidRDefault="00BB179C">
      <w:pPr>
        <w:jc w:val="center"/>
      </w:pPr>
      <w:r>
        <w:rPr>
          <w:color w:val="5B6573"/>
        </w:rPr>
        <w:t>July 2026</w:t>
      </w:r>
    </w:p>
    <w:p w14:paraId="61ECF4D5" w14:textId="77777777" w:rsidR="00ED4B9D" w:rsidRDefault="00BB179C">
      <w:r>
        <w:br w:type="page"/>
      </w:r>
    </w:p>
    <w:p w14:paraId="5A7986E3" w14:textId="77777777" w:rsidR="00ED4B9D" w:rsidRDefault="00BB179C">
      <w:pPr>
        <w:pStyle w:val="Heading1"/>
      </w:pPr>
      <w:r>
        <w:rPr>
          <w:rFonts w:ascii="Calibri" w:hAnsi="Calibri"/>
        </w:rPr>
        <w:lastRenderedPageBreak/>
        <w:t>Executive summary</w:t>
      </w:r>
    </w:p>
    <w:p w14:paraId="46C9564C" w14:textId="77777777" w:rsidR="00A30C48" w:rsidRPr="00972430" w:rsidRDefault="00A30C48" w:rsidP="00DA5705">
      <w:pPr>
        <w:spacing w:line="276" w:lineRule="auto"/>
        <w:rPr>
          <w:color w:val="EE0000"/>
        </w:rPr>
      </w:pPr>
      <w:r>
        <w:rPr>
          <w:color w:val="000000"/>
        </w:rPr>
        <w:t>Migrant Women’s Emergency Service Inc, trading as Immigrant Women’s Support Service (IWSS), welcomes the opportunity to contribute to the development of the Second Action Plan under the National Plan to End Violence against Women and Children 2022–2032.</w:t>
      </w:r>
    </w:p>
    <w:p w14:paraId="35006C77" w14:textId="0EE6DFB3" w:rsidR="00A30C48" w:rsidRPr="00972430" w:rsidRDefault="00A30C48" w:rsidP="00DA5705">
      <w:pPr>
        <w:spacing w:line="276" w:lineRule="auto"/>
        <w:rPr>
          <w:color w:val="EE0000"/>
        </w:rPr>
      </w:pPr>
      <w:r>
        <w:t>This submission responds to the five proposed priority areas and identifies actions required to strengthen implementation, coordination and measurable change. The Second Action Plan must apply a clear gendered and intersectional analysis across prevention, early intervention, response, recovery and healing.</w:t>
      </w:r>
    </w:p>
    <w:p w14:paraId="6C4DD650" w14:textId="4049473C" w:rsidR="00A30C48" w:rsidRPr="00972430" w:rsidRDefault="00A30C48" w:rsidP="00A30C48">
      <w:pPr>
        <w:rPr>
          <w:color w:val="EE0000"/>
        </w:rPr>
      </w:pPr>
      <w:r>
        <w:t>Migrant and refugee women, children and young people experience violence within a broader social and structural context. Visa status, language access, knowledge of rights, racism, economic exclusion, housing eligibility, disability, forced displacement, family separation and transnational relationships can heighten exposure to risk and restrict access to safety. These factors do not cause violence. People using violence can exploit them, while systems that overlook intersecting needs can compound the harm.</w:t>
      </w:r>
    </w:p>
    <w:p w14:paraId="0123A70A" w14:textId="058BCB66" w:rsidR="00A30C48" w:rsidRPr="00972430" w:rsidRDefault="00A30C48" w:rsidP="00A30C48">
      <w:pPr>
        <w:rPr>
          <w:color w:val="EE0000"/>
        </w:rPr>
      </w:pPr>
      <w:r>
        <w:t>Across the specialist sector, common priorities include sustainable investment in specialist services, trauma and violence-informed prevention and early intervention, child-centred responses, housing and economic security, perpetrator accountability, workforce capability, integrated systems and transparent implementation. This submission considers these priorities through the cultural, migration and practice context of a specialist multicultural domestic and family violence and sexual violence service.</w:t>
      </w:r>
    </w:p>
    <w:p w14:paraId="1A95FA8B" w14:textId="64C07805" w:rsidR="00ED4B9D" w:rsidRPr="00972430" w:rsidRDefault="00ED4B9D">
      <w:pPr>
        <w:rPr>
          <w:color w:val="EE0000"/>
        </w:rPr>
      </w:pPr>
    </w:p>
    <w:tbl>
      <w:tblPr>
        <w:tblW w:w="0" w:type="auto"/>
        <w:tblLayout w:type="fixed"/>
        <w:tblLook w:val="04A0" w:firstRow="1" w:lastRow="0" w:firstColumn="1" w:lastColumn="0" w:noHBand="0" w:noVBand="1"/>
      </w:tblPr>
      <w:tblGrid>
        <w:gridCol w:w="9648"/>
      </w:tblGrid>
      <w:tr w:rsidR="00ED4B9D" w14:paraId="6221C2CC" w14:textId="77777777" w:rsidTr="205FE728">
        <w:tc>
          <w:tcPr>
            <w:tcW w:w="9648" w:type="dxa"/>
            <w:shd w:val="clear" w:color="auto" w:fill="EAF1F8"/>
            <w:tcMar>
              <w:top w:w="150" w:type="dxa"/>
              <w:left w:w="180" w:type="dxa"/>
              <w:bottom w:w="150" w:type="dxa"/>
              <w:right w:w="180" w:type="dxa"/>
            </w:tcMar>
          </w:tcPr>
          <w:p w14:paraId="06B9751A" w14:textId="77777777" w:rsidR="00ED4B9D" w:rsidRDefault="00BB179C">
            <w:pPr>
              <w:spacing w:after="60"/>
            </w:pPr>
            <w:r w:rsidRPr="205FE728">
              <w:rPr>
                <w:b/>
                <w:bCs/>
                <w:color w:val="17365D" w:themeColor="text2" w:themeShade="BF"/>
              </w:rPr>
              <w:t>IWSS’s central position</w:t>
            </w:r>
          </w:p>
          <w:p w14:paraId="4D2BBB2A" w14:textId="77777777" w:rsidR="00697A1C" w:rsidRDefault="00BB179C" w:rsidP="36767015">
            <w:pPr>
              <w:spacing w:after="0"/>
            </w:pPr>
            <w:r>
              <w:t>The Second Action Plan should treat specialist multicultural domestic and family violence and sexual violence services as essential national infrastructure. Cultural responsiveness cannot be added to mainstream models after they have been designed. It must shape policy settings, commissioning, workforce capability, risk assessment, service pathways, implementation and accountability from the outset</w:t>
            </w:r>
            <w:r w:rsidR="00697A1C">
              <w:t xml:space="preserve">. </w:t>
            </w:r>
          </w:p>
          <w:p w14:paraId="13CE0851" w14:textId="7AB3575E" w:rsidR="00ED4B9D" w:rsidRDefault="00BB179C" w:rsidP="36767015">
            <w:pPr>
              <w:spacing w:after="0"/>
              <w:rPr>
                <w:color w:val="FF0000"/>
              </w:rPr>
            </w:pPr>
            <w:r>
              <w:t>Cultural responsiveness must also be embedded in organisational governance and leadership, including policies and procedures, Board composition, recruitment practices and consistent human resource processes. These structures set the direction for how services are designed, managed and delivered.</w:t>
            </w:r>
          </w:p>
        </w:tc>
      </w:tr>
    </w:tbl>
    <w:p w14:paraId="443AEEDD" w14:textId="77777777" w:rsidR="00ED4B9D" w:rsidRDefault="00ED4B9D">
      <w:pPr>
        <w:spacing w:after="0"/>
      </w:pPr>
    </w:p>
    <w:p w14:paraId="0EC8CD49" w14:textId="77777777" w:rsidR="00A30C48" w:rsidRDefault="00A30C48" w:rsidP="00A30C48">
      <w:pPr>
        <w:pStyle w:val="Heading2"/>
      </w:pPr>
      <w:r>
        <w:rPr>
          <w:rFonts w:ascii="Calibri" w:hAnsi="Calibri"/>
        </w:rPr>
        <w:lastRenderedPageBreak/>
        <w:t>Priority recommendations</w:t>
      </w:r>
    </w:p>
    <w:p w14:paraId="13F1D002" w14:textId="5411F32D" w:rsidR="00D37D4E" w:rsidRDefault="00601509" w:rsidP="00D37D4E">
      <w:pPr>
        <w:pStyle w:val="pdq2pgselectionanchorcontainer"/>
        <w:numPr>
          <w:ilvl w:val="0"/>
          <w:numId w:val="11"/>
        </w:numPr>
        <w:spacing w:line="276" w:lineRule="auto"/>
        <w:rPr>
          <w:rFonts w:asciiTheme="majorHAnsi" w:hAnsiTheme="majorHAnsi" w:cstheme="majorHAnsi"/>
          <w:sz w:val="22"/>
          <w:szCs w:val="22"/>
        </w:rPr>
      </w:pPr>
      <w:r w:rsidRPr="00DA44CA">
        <w:rPr>
          <w:rFonts w:asciiTheme="majorHAnsi" w:hAnsiTheme="majorHAnsi" w:cstheme="majorHAnsi"/>
          <w:sz w:val="22"/>
          <w:szCs w:val="22"/>
        </w:rPr>
        <w:t>Sustain specialist services and workforce through long-term, indexed funding that covers the full cost of culturally responsive domestic and family violence and sexual violence service delivery. Funding should include qualified interpreters and translation, bicultural workers, supervision, workforce wellbeing, ongoing training, career pathways and practice-led evidence.</w:t>
      </w:r>
      <w:r w:rsidR="00D37D4E">
        <w:rPr>
          <w:rFonts w:asciiTheme="majorHAnsi" w:hAnsiTheme="majorHAnsi" w:cstheme="majorHAnsi"/>
          <w:sz w:val="22"/>
          <w:szCs w:val="22"/>
        </w:rPr>
        <w:br/>
      </w:r>
    </w:p>
    <w:p w14:paraId="4CB5B666" w14:textId="4FAAE8A1" w:rsidR="00D37D4E" w:rsidRDefault="00601509" w:rsidP="00D37D4E">
      <w:pPr>
        <w:pStyle w:val="pdq2pgselectionanchorcontainer"/>
        <w:numPr>
          <w:ilvl w:val="0"/>
          <w:numId w:val="11"/>
        </w:numPr>
        <w:spacing w:line="276" w:lineRule="auto"/>
        <w:rPr>
          <w:rFonts w:asciiTheme="majorHAnsi" w:hAnsiTheme="majorHAnsi" w:cstheme="majorHAnsi"/>
          <w:sz w:val="22"/>
          <w:szCs w:val="22"/>
        </w:rPr>
      </w:pPr>
      <w:r w:rsidRPr="00D37D4E">
        <w:rPr>
          <w:rFonts w:asciiTheme="majorHAnsi" w:hAnsiTheme="majorHAnsi" w:cstheme="majorHAnsi"/>
          <w:sz w:val="22"/>
          <w:szCs w:val="22"/>
        </w:rPr>
        <w:t xml:space="preserve">Guarantee equitable access to safety, income, housing, health care, </w:t>
      </w:r>
      <w:r w:rsidR="001959C7" w:rsidRPr="00D37D4E">
        <w:rPr>
          <w:rFonts w:asciiTheme="majorHAnsi" w:hAnsiTheme="majorHAnsi" w:cstheme="majorHAnsi"/>
          <w:sz w:val="22"/>
          <w:szCs w:val="22"/>
        </w:rPr>
        <w:t>childcare</w:t>
      </w:r>
      <w:r w:rsidRPr="00D37D4E">
        <w:rPr>
          <w:rFonts w:asciiTheme="majorHAnsi" w:hAnsiTheme="majorHAnsi" w:cstheme="majorHAnsi"/>
          <w:sz w:val="22"/>
          <w:szCs w:val="22"/>
        </w:rPr>
        <w:t>, legal assistance and recovery support, regardless of visa or financial status. Responses should recognise the heightened risks faced by international students, temporary migrant workers and people recruited through labour mobility arrangements.</w:t>
      </w:r>
      <w:r w:rsidR="00D37D4E">
        <w:rPr>
          <w:rFonts w:asciiTheme="majorHAnsi" w:hAnsiTheme="majorHAnsi" w:cstheme="majorHAnsi"/>
          <w:sz w:val="22"/>
          <w:szCs w:val="22"/>
        </w:rPr>
        <w:br/>
      </w:r>
    </w:p>
    <w:p w14:paraId="2CD5C49F" w14:textId="15C54A07" w:rsidR="00601509" w:rsidRPr="00D37D4E" w:rsidRDefault="00601509" w:rsidP="00D37D4E">
      <w:pPr>
        <w:pStyle w:val="pdq2pgselectionanchorcontainer"/>
        <w:numPr>
          <w:ilvl w:val="0"/>
          <w:numId w:val="11"/>
        </w:numPr>
        <w:spacing w:line="276" w:lineRule="auto"/>
        <w:rPr>
          <w:rFonts w:asciiTheme="majorHAnsi" w:hAnsiTheme="majorHAnsi" w:cstheme="majorHAnsi"/>
          <w:sz w:val="22"/>
          <w:szCs w:val="22"/>
        </w:rPr>
      </w:pPr>
      <w:r w:rsidRPr="00D37D4E">
        <w:rPr>
          <w:rFonts w:asciiTheme="majorHAnsi" w:hAnsiTheme="majorHAnsi" w:cstheme="majorHAnsi"/>
          <w:sz w:val="22"/>
          <w:szCs w:val="22"/>
        </w:rPr>
        <w:t>Build nationally consistent, migration-informed responses to visa-related coercive control, transnational and multi-perpetrator abuse, forced marriage, including child and early marriage, dowry abuse, technology-facilitated abuse, systems abuse and victim-survivor misidentification. Funded pathways should include warm referrals, secondary consultation, escalation and follow-up.</w:t>
      </w:r>
    </w:p>
    <w:p w14:paraId="739F1D41" w14:textId="21FE3BF3" w:rsidR="00DA5705" w:rsidRDefault="00601509" w:rsidP="00D37D4E">
      <w:pPr>
        <w:pStyle w:val="NormalWeb"/>
        <w:numPr>
          <w:ilvl w:val="0"/>
          <w:numId w:val="12"/>
        </w:numPr>
        <w:spacing w:line="276" w:lineRule="auto"/>
        <w:rPr>
          <w:rFonts w:asciiTheme="majorHAnsi" w:hAnsiTheme="majorHAnsi" w:cstheme="majorHAnsi"/>
          <w:sz w:val="22"/>
          <w:szCs w:val="22"/>
        </w:rPr>
      </w:pPr>
      <w:r w:rsidRPr="00DA44CA">
        <w:rPr>
          <w:rFonts w:asciiTheme="majorHAnsi" w:hAnsiTheme="majorHAnsi" w:cstheme="majorHAnsi"/>
          <w:sz w:val="22"/>
          <w:szCs w:val="22"/>
        </w:rPr>
        <w:t>Establish a dedicated National Sexual Violence Strategy and a transparent funding stream, informed and developed with specialist services and victim-survivors. Fund culturally responsive, child-centred services that recognise children and young people as victim-survivors.</w:t>
      </w:r>
    </w:p>
    <w:p w14:paraId="3F91E975" w14:textId="4304589E" w:rsidR="001959C7" w:rsidRPr="00DA44CA" w:rsidRDefault="00DA5705" w:rsidP="00D37D4E">
      <w:pPr>
        <w:pStyle w:val="NormalWeb"/>
        <w:numPr>
          <w:ilvl w:val="0"/>
          <w:numId w:val="11"/>
        </w:numPr>
        <w:spacing w:line="276" w:lineRule="auto"/>
        <w:rPr>
          <w:rFonts w:asciiTheme="majorHAnsi" w:hAnsiTheme="majorHAnsi" w:cstheme="majorHAnsi"/>
          <w:sz w:val="22"/>
          <w:szCs w:val="22"/>
        </w:rPr>
      </w:pPr>
      <w:r>
        <w:rPr>
          <w:rFonts w:asciiTheme="majorHAnsi" w:hAnsiTheme="majorHAnsi" w:cstheme="majorHAnsi"/>
          <w:sz w:val="22"/>
          <w:szCs w:val="22"/>
        </w:rPr>
        <w:t>Recognise and acknowledge the vulnerability experienced by CALD</w:t>
      </w:r>
      <w:r w:rsidR="00EB0196">
        <w:rPr>
          <w:rFonts w:asciiTheme="majorHAnsi" w:hAnsiTheme="majorHAnsi" w:cstheme="majorHAnsi"/>
          <w:sz w:val="22"/>
          <w:szCs w:val="22"/>
        </w:rPr>
        <w:t xml:space="preserve"> </w:t>
      </w:r>
      <w:r>
        <w:rPr>
          <w:rFonts w:asciiTheme="majorHAnsi" w:hAnsiTheme="majorHAnsi" w:cstheme="majorHAnsi"/>
          <w:sz w:val="22"/>
          <w:szCs w:val="22"/>
        </w:rPr>
        <w:t>/ NESB victim-survivors in the areas of ad hoc employment, language centres as international students as well as employment strategies with various Pacific Island partnerships.</w:t>
      </w:r>
    </w:p>
    <w:p w14:paraId="48B516B8" w14:textId="6AAB35D0" w:rsidR="00D37D4E" w:rsidRPr="00D37D4E" w:rsidRDefault="00601509" w:rsidP="00D37D4E">
      <w:pPr>
        <w:pStyle w:val="NormalWeb"/>
        <w:numPr>
          <w:ilvl w:val="0"/>
          <w:numId w:val="12"/>
        </w:numPr>
        <w:spacing w:line="276" w:lineRule="auto"/>
        <w:rPr>
          <w:rFonts w:asciiTheme="majorHAnsi" w:hAnsiTheme="majorHAnsi" w:cstheme="majorHAnsi"/>
          <w:sz w:val="22"/>
          <w:szCs w:val="22"/>
        </w:rPr>
      </w:pPr>
      <w:r w:rsidRPr="00DA44CA">
        <w:rPr>
          <w:rFonts w:asciiTheme="majorHAnsi" w:hAnsiTheme="majorHAnsi" w:cstheme="majorHAnsi"/>
          <w:sz w:val="22"/>
          <w:szCs w:val="22"/>
        </w:rPr>
        <w:t>Invest in community-designed prevention and culturally grounded interventions for people who use violence. Specialist women’s services should contribute to program design, risk monitoring and accountability, while safeguarding victim-survivor choice, privacy and safety.</w:t>
      </w:r>
      <w:r w:rsidR="00D37D4E">
        <w:rPr>
          <w:rFonts w:asciiTheme="majorHAnsi" w:hAnsiTheme="majorHAnsi" w:cstheme="majorHAnsi"/>
          <w:sz w:val="22"/>
          <w:szCs w:val="22"/>
        </w:rPr>
        <w:br/>
      </w:r>
    </w:p>
    <w:p w14:paraId="3700E882" w14:textId="29086B2D" w:rsidR="00A30C48" w:rsidRPr="00DA44CA" w:rsidRDefault="00601509" w:rsidP="00D37D4E">
      <w:pPr>
        <w:pStyle w:val="NormalWeb"/>
        <w:numPr>
          <w:ilvl w:val="0"/>
          <w:numId w:val="12"/>
        </w:numPr>
        <w:spacing w:line="276" w:lineRule="auto"/>
        <w:rPr>
          <w:sz w:val="22"/>
          <w:szCs w:val="22"/>
        </w:rPr>
      </w:pPr>
      <w:r w:rsidRPr="00DA44CA">
        <w:rPr>
          <w:rFonts w:asciiTheme="majorHAnsi" w:hAnsiTheme="majorHAnsi" w:cstheme="majorHAnsi"/>
          <w:sz w:val="22"/>
          <w:szCs w:val="22"/>
        </w:rPr>
        <w:t xml:space="preserve">Embed equity, lived experience and accountability across commissioning, governance, implementation and evaluation. Funding agreements should include measurable requirements for language access, integrated service pathways and public reporting. </w:t>
      </w:r>
      <w:r w:rsidR="00EB2AC4" w:rsidRPr="00DA44CA">
        <w:rPr>
          <w:rFonts w:asciiTheme="majorHAnsi" w:hAnsiTheme="majorHAnsi" w:cstheme="majorHAnsi"/>
          <w:sz w:val="22"/>
          <w:szCs w:val="22"/>
        </w:rPr>
        <w:t xml:space="preserve">Women from migrant </w:t>
      </w:r>
      <w:r w:rsidR="00EB0196" w:rsidRPr="00DA44CA">
        <w:rPr>
          <w:rFonts w:asciiTheme="majorHAnsi" w:hAnsiTheme="majorHAnsi" w:cstheme="majorHAnsi"/>
          <w:sz w:val="22"/>
          <w:szCs w:val="22"/>
        </w:rPr>
        <w:t>and refugee</w:t>
      </w:r>
      <w:r w:rsidRPr="00DA44CA">
        <w:rPr>
          <w:rFonts w:asciiTheme="majorHAnsi" w:hAnsiTheme="majorHAnsi" w:cstheme="majorHAnsi"/>
          <w:sz w:val="22"/>
          <w:szCs w:val="22"/>
        </w:rPr>
        <w:t xml:space="preserve"> and </w:t>
      </w:r>
      <w:r w:rsidR="00DA5705" w:rsidRPr="00DA44CA">
        <w:rPr>
          <w:rFonts w:asciiTheme="majorHAnsi" w:hAnsiTheme="majorHAnsi" w:cstheme="majorHAnsi"/>
          <w:sz w:val="22"/>
          <w:szCs w:val="22"/>
        </w:rPr>
        <w:t>asylum-seeking</w:t>
      </w:r>
      <w:r w:rsidRPr="00DA44CA">
        <w:rPr>
          <w:rFonts w:asciiTheme="majorHAnsi" w:hAnsiTheme="majorHAnsi" w:cstheme="majorHAnsi"/>
          <w:sz w:val="22"/>
          <w:szCs w:val="22"/>
        </w:rPr>
        <w:t xml:space="preserve"> backgrounds, including victim-survivors, should hold supported and </w:t>
      </w:r>
    </w:p>
    <w:p w14:paraId="20B9D0BB" w14:textId="77777777" w:rsidR="00ED4B9D" w:rsidRDefault="00BB179C">
      <w:pPr>
        <w:pStyle w:val="Heading1"/>
      </w:pPr>
      <w:r>
        <w:rPr>
          <w:rFonts w:ascii="Calibri" w:hAnsi="Calibri"/>
        </w:rPr>
        <w:lastRenderedPageBreak/>
        <w:t>About IWSS</w:t>
      </w:r>
    </w:p>
    <w:p w14:paraId="13895733" w14:textId="77777777" w:rsidR="00ED4B9D" w:rsidRDefault="00BB179C" w:rsidP="00D37D4E">
      <w:pPr>
        <w:jc w:val="both"/>
      </w:pPr>
      <w:r>
        <w:rPr>
          <w:color w:val="000000"/>
        </w:rPr>
        <w:t>IWSS is Queensland’s specialist multicultural service for women, children and young people experiencing domestic and family violence and sexual violence. For more than forty years, IWSS has provided specialist support at the intersection of gender, violence, migration, settlement, culture, language and trauma.</w:t>
      </w:r>
    </w:p>
    <w:p w14:paraId="16E2FB06" w14:textId="5BB24144" w:rsidR="00ED4B9D" w:rsidRDefault="00BB179C" w:rsidP="00D37D4E">
      <w:pPr>
        <w:jc w:val="both"/>
      </w:pPr>
      <w:r>
        <w:rPr>
          <w:color w:val="000000"/>
        </w:rPr>
        <w:t>IWSS supports people from established and newly arrived migrant communities, refugee backgrounds and diverse visa pathways, including temporary visa holders and international students. Our workforce represents 24 cultural communities and speaks more than 40 languages. This combination of professional, cultural, language and lived expertise strengthens trust, risk assessment, communication, advocacy and system navigation.</w:t>
      </w:r>
      <w:r w:rsidR="00DA5705">
        <w:rPr>
          <w:color w:val="000000"/>
        </w:rPr>
        <w:t xml:space="preserve"> Engaging professional interpreters where required is critical in ensuring communication is </w:t>
      </w:r>
      <w:r w:rsidR="00EB0196">
        <w:rPr>
          <w:color w:val="000000"/>
        </w:rPr>
        <w:t>always addressed</w:t>
      </w:r>
      <w:r w:rsidR="00DA5705">
        <w:rPr>
          <w:color w:val="000000"/>
        </w:rPr>
        <w:t xml:space="preserve"> and culturally sensitive practices met.</w:t>
      </w:r>
    </w:p>
    <w:p w14:paraId="1CC4D133" w14:textId="77777777" w:rsidR="00ED4B9D" w:rsidRDefault="00BB179C" w:rsidP="00D37D4E">
      <w:pPr>
        <w:jc w:val="both"/>
      </w:pPr>
      <w:r>
        <w:t>IWSS’s practice applies an intersectional feminist and gendered analysis and is trauma-informed, client-centred, strengths-based and culturally responsive. This submission draws on cumulative knowledge from frontline practice, community consultation, service-system engagement and the experiences shared by victim-survivors.</w:t>
      </w:r>
    </w:p>
    <w:p w14:paraId="459A57F6" w14:textId="77777777" w:rsidR="00ED4B9D" w:rsidRDefault="00BB179C">
      <w:pPr>
        <w:pStyle w:val="Heading2"/>
      </w:pPr>
      <w:r>
        <w:rPr>
          <w:rFonts w:ascii="Calibri" w:hAnsi="Calibri"/>
        </w:rPr>
        <w:t>Community consultation</w:t>
      </w:r>
    </w:p>
    <w:p w14:paraId="26329FAD" w14:textId="03E52551" w:rsidR="00A900B3" w:rsidRPr="00605A11" w:rsidRDefault="00A900B3" w:rsidP="00D37D4E">
      <w:pPr>
        <w:pStyle w:val="pdq2pgselectionanchorcontainer"/>
        <w:spacing w:line="276" w:lineRule="auto"/>
        <w:rPr>
          <w:rFonts w:asciiTheme="majorHAnsi" w:hAnsiTheme="majorHAnsi" w:cstheme="majorHAnsi"/>
          <w:sz w:val="22"/>
          <w:szCs w:val="22"/>
        </w:rPr>
      </w:pPr>
      <w:r w:rsidRPr="00605A11">
        <w:rPr>
          <w:rFonts w:asciiTheme="majorHAnsi" w:hAnsiTheme="majorHAnsi" w:cstheme="majorHAnsi"/>
          <w:sz w:val="22"/>
          <w:szCs w:val="22"/>
        </w:rPr>
        <w:t>IWSS acknowledges the Ethnic Communities Council of Queensland (ECCQ) for partnering with us to conduct consultations with women and community members from diverse cultural and linguistic backgrounds. Their insights have strengthened this submission and ensured it reflects the barriers and priorities identified by communities.</w:t>
      </w:r>
    </w:p>
    <w:p w14:paraId="7F246C3D" w14:textId="77777777" w:rsidR="00A900B3" w:rsidRPr="00605A11" w:rsidRDefault="00A900B3" w:rsidP="00D37D4E">
      <w:pPr>
        <w:pStyle w:val="NormalWeb"/>
        <w:spacing w:line="276" w:lineRule="auto"/>
        <w:rPr>
          <w:rFonts w:asciiTheme="majorHAnsi" w:hAnsiTheme="majorHAnsi" w:cstheme="majorHAnsi"/>
          <w:sz w:val="22"/>
          <w:szCs w:val="22"/>
        </w:rPr>
      </w:pPr>
      <w:r w:rsidRPr="00605A11">
        <w:rPr>
          <w:rFonts w:asciiTheme="majorHAnsi" w:hAnsiTheme="majorHAnsi" w:cstheme="majorHAnsi"/>
          <w:sz w:val="22"/>
          <w:szCs w:val="22"/>
        </w:rPr>
        <w:t>This submission also considers the positions advanced by the Queensland Sexual Assault Network (QSAN) and the Queensland Domestic and Family Violence Alliance (QDFVA). Both organisations consulted IWSS and invited us to contribute our views, specialist practice knowledge and insights.</w:t>
      </w:r>
    </w:p>
    <w:p w14:paraId="3359496F" w14:textId="77777777" w:rsidR="00A900B3" w:rsidRPr="00605A11" w:rsidRDefault="00A900B3" w:rsidP="00D37D4E">
      <w:pPr>
        <w:pStyle w:val="NormalWeb"/>
        <w:spacing w:line="276" w:lineRule="auto"/>
        <w:rPr>
          <w:rFonts w:asciiTheme="majorHAnsi" w:hAnsiTheme="majorHAnsi" w:cstheme="majorHAnsi"/>
          <w:sz w:val="22"/>
          <w:szCs w:val="22"/>
        </w:rPr>
      </w:pPr>
      <w:r w:rsidRPr="00605A11">
        <w:rPr>
          <w:rFonts w:asciiTheme="majorHAnsi" w:hAnsiTheme="majorHAnsi" w:cstheme="majorHAnsi"/>
          <w:sz w:val="22"/>
          <w:szCs w:val="22"/>
        </w:rPr>
        <w:t>IWSS is deeply grateful to ECCQ for its partnership, support and goodwill, and to everyone who generously shared their time, knowledge and experiences. We particularly recognise the voices, courage and resilience of victim-survivors, including IWSS clients, who continue to navigate systems whose design and requirements too often create further barriers to safety, justice and recovery.</w:t>
      </w:r>
    </w:p>
    <w:p w14:paraId="5D3C1DFF" w14:textId="3944F582" w:rsidR="00ED4B9D" w:rsidRDefault="00A900B3">
      <w:pPr>
        <w:pStyle w:val="Heading1"/>
      </w:pPr>
      <w:r>
        <w:rPr>
          <w:rFonts w:ascii="Calibri" w:hAnsi="Calibri"/>
        </w:rPr>
        <w:lastRenderedPageBreak/>
        <w:t>F</w:t>
      </w:r>
      <w:r w:rsidR="00BB179C">
        <w:rPr>
          <w:rFonts w:ascii="Calibri" w:hAnsi="Calibri"/>
        </w:rPr>
        <w:t>raming the Second Action Plan</w:t>
      </w:r>
    </w:p>
    <w:p w14:paraId="66579FEB" w14:textId="77777777" w:rsidR="00ED4B9D" w:rsidRDefault="00BB179C">
      <w:pPr>
        <w:pStyle w:val="Heading2"/>
      </w:pPr>
      <w:r>
        <w:rPr>
          <w:rFonts w:ascii="Calibri" w:hAnsi="Calibri"/>
        </w:rPr>
        <w:t>Keep gender inequality central while addressing intersecting systems</w:t>
      </w:r>
    </w:p>
    <w:p w14:paraId="4A9EE3DF" w14:textId="77777777" w:rsidR="00ED4B9D" w:rsidRDefault="00BB179C">
      <w:r>
        <w:rPr>
          <w:color w:val="000000"/>
        </w:rPr>
        <w:t>IWSS supports the National Plan’s recognition that gender inequality drives violence against women. Racism, ableism, ageism, migration status, poverty, heteronormativity and other forms of structural inequality shape exposure to violence, access to support and the consequences of seeking safety.</w:t>
      </w:r>
    </w:p>
    <w:p w14:paraId="4C98B242" w14:textId="77777777" w:rsidR="00ED4B9D" w:rsidRDefault="00BB179C">
      <w:r>
        <w:t>Culture, religion, ethnicity and migration do not cause domestic and family violence or sexual violence. Cultural explanations can racialise violence, shift attention from the choices of the person using violence and reinforce barriers to help-seeking. At the same time, a culturally neutral response also fails women when it ignores how people using violence weaponise cultural expectations, spiritual beliefs or practices, migration rules, language, family relationships, community standing or transnational networks.</w:t>
      </w:r>
    </w:p>
    <w:p w14:paraId="18FB7C6C" w14:textId="77777777" w:rsidR="00670369" w:rsidRDefault="00BB179C" w:rsidP="00670369">
      <w:r>
        <w:t>The Second Action Plan should therefore require gender-transformative, anti-racist and intersectional implementation. Universal actions should set a strong national floor. Targeted measures should respond to unequal barriers and forms of violence that remain poorly recognised by mainstream systems. Governments and political leaders should consistently acknowledge the gendered drivers of violence and communicate that domestic, family and sexual violence is never condoned.</w:t>
      </w:r>
    </w:p>
    <w:p w14:paraId="02E10B09" w14:textId="77777777" w:rsidR="00670369" w:rsidRPr="00670369" w:rsidRDefault="00670369" w:rsidP="00670369">
      <w:pPr>
        <w:pStyle w:val="Heading3"/>
        <w:rPr>
          <w:color w:val="EE0000"/>
        </w:rPr>
      </w:pPr>
      <w:r>
        <w:rPr>
          <w:rFonts w:ascii="Calibri" w:hAnsi="Calibri"/>
          <w:sz w:val="22"/>
        </w:rPr>
        <w:t>Case study: Isabela, migration dependency and coercive control</w:t>
      </w:r>
    </w:p>
    <w:p w14:paraId="0E711CE8" w14:textId="450EFDDC" w:rsidR="00384534" w:rsidRDefault="00031C47">
      <w:pPr>
        <w:pStyle w:val="CaseStudyBody"/>
        <w:keepLines/>
        <w:shd w:val="clear" w:color="auto" w:fill="F4F6F9"/>
      </w:pPr>
      <w:r>
        <w:t>Isabela lived with her husband and his family after arriving in Australia. Her in-laws controlled her daily life and required her to undertake all household work. Her husband threatened to have her deported, while his family controlled communication about her migration status.</w:t>
      </w:r>
    </w:p>
    <w:p w14:paraId="246EB273" w14:textId="0B3D2AA5" w:rsidR="00384534" w:rsidRDefault="00EB0F66">
      <w:pPr>
        <w:pStyle w:val="CaseStudyBody"/>
        <w:keepLines/>
        <w:shd w:val="clear" w:color="auto" w:fill="F4F6F9"/>
      </w:pPr>
      <w:r>
        <w:t>When Isabela first sought migration advice, a private agent minimised her experience because she had not described physical violence and advised her to remain in the relationship. A community migration service with family violence expertise later explained the family violence provisions and connected her with counselling and safety planning. It took several months before she felt confident that she could leave safely.</w:t>
      </w:r>
    </w:p>
    <w:p w14:paraId="45C098CE" w14:textId="79ACAFA9" w:rsidR="00384534" w:rsidRDefault="000913F5">
      <w:pPr>
        <w:pStyle w:val="CaseStudyBody"/>
        <w:keepLines/>
        <w:shd w:val="clear" w:color="auto" w:fill="F4F6F9"/>
      </w:pPr>
      <w:r>
        <w:t>Isabela’s experience shows how migration dependency, limited access to accurate information about rights and family involvement can be used as tools of coercive control. It also demonstrates why culturally responsive services must recognise patterns of power and control, rather than treating abuse as cultural difference or looking only for physical violence.</w:t>
      </w:r>
    </w:p>
    <w:p w14:paraId="08B2E511" w14:textId="49F64F02" w:rsidR="00384534" w:rsidRDefault="00031C47">
      <w:pPr>
        <w:pStyle w:val="CaseStudyBody"/>
        <w:keepLines/>
        <w:shd w:val="clear" w:color="auto" w:fill="F4F6F9"/>
        <w:spacing w:after="160"/>
      </w:pPr>
      <w:r>
        <w:t>Isabela is the pseudonym used in the published source.</w:t>
      </w:r>
    </w:p>
    <w:p w14:paraId="520A6290" w14:textId="77777777" w:rsidR="00ED4B9D" w:rsidRDefault="00BB179C" w:rsidP="00670369">
      <w:pPr>
        <w:pStyle w:val="Heading2"/>
      </w:pPr>
      <w:r>
        <w:rPr>
          <w:rFonts w:ascii="Calibri" w:hAnsi="Calibri"/>
          <w:sz w:val="22"/>
        </w:rPr>
        <w:lastRenderedPageBreak/>
        <w:t>Differentiate domestic and family violence from sexual violence</w:t>
      </w:r>
    </w:p>
    <w:p w14:paraId="737420A6" w14:textId="77777777" w:rsidR="00ED4B9D" w:rsidRDefault="00BB179C">
      <w:r>
        <w:rPr>
          <w:color w:val="000000"/>
        </w:rPr>
        <w:t>Domestic and family violence and sexual violence are interconnected, but they are not interchangeable. Their settings, patterns, reporting pathways, specialist practice and recovery needs differ. The Second Action Plan should name sexual violence clearly and avoid policy or funding structures that make it less visible within a broad acronym.</w:t>
      </w:r>
    </w:p>
    <w:p w14:paraId="4915878D" w14:textId="77777777" w:rsidR="00ED4B9D" w:rsidRDefault="00BB179C">
      <w:pPr>
        <w:rPr>
          <w:color w:val="000000"/>
        </w:rPr>
      </w:pPr>
      <w:r>
        <w:t>Sexual violence affecting migrant, refugee and asylum seeker women can occur within intimate relationships, families, institutions, workplaces, migration and employment arrangements, educational settings and the community. People using violence can exploit gendered cultural expectations about partner roles, visa dependency, insecure employment and limited knowledge of rights. Barriers to disclosure can include shame, fear of family or community consequences, concerns about visa status, unsafe interpreting, racialised responses and fear of not being believed.</w:t>
      </w:r>
    </w:p>
    <w:p w14:paraId="59FE00D1" w14:textId="77777777" w:rsidR="00AA2CE7" w:rsidRDefault="00AA2CE7">
      <w:pPr>
        <w:rPr>
          <w:color w:val="000000"/>
        </w:rPr>
      </w:pPr>
    </w:p>
    <w:p w14:paraId="00722E8B" w14:textId="5A7F02C4" w:rsidR="00AA2CE7" w:rsidRPr="00700E80" w:rsidRDefault="00AA2CE7">
      <w:pPr>
        <w:pStyle w:val="Heading3"/>
        <w:rPr>
          <w:color w:val="EE0000"/>
        </w:rPr>
      </w:pPr>
      <w:r>
        <w:rPr>
          <w:rFonts w:ascii="Calibri" w:hAnsi="Calibri"/>
        </w:rPr>
        <w:t>Case study: A migrant worker experiencing workplace sexual violence</w:t>
      </w:r>
    </w:p>
    <w:p w14:paraId="7351F77E" w14:textId="77777777" w:rsidR="00F30D85" w:rsidRDefault="00F30D85" w:rsidP="00F30D85">
      <w:pPr>
        <w:pStyle w:val="CaseStudyBody"/>
        <w:keepLines/>
        <w:shd w:val="clear" w:color="auto" w:fill="F4F6F9"/>
      </w:pPr>
      <w:r>
        <w:t>A young migrant woman on a student visa experienced sustained sexual harassment and sexual assault over more than six months while working in a Brisbane restaurant. Her employer, who was considerably older, offered to assist with a work visa and implied that she needed to become his girlfriend.</w:t>
      </w:r>
    </w:p>
    <w:p w14:paraId="2ED9C471" w14:textId="20D7BD29" w:rsidR="00F30D85" w:rsidRPr="00F30D85" w:rsidRDefault="00F30D85" w:rsidP="00F30D85">
      <w:pPr>
        <w:pStyle w:val="CaseStudyBody"/>
        <w:keepLines/>
        <w:shd w:val="clear" w:color="auto" w:fill="F4F6F9"/>
      </w:pPr>
      <w:r>
        <w:t>She returned to her country of origin and was diagnosed with post-traumatic stress disorder, severe anxiety and depression. She later returned to Australia to participate in conciliation. The matter was not resolved at the first conference and continued through a lengthy process before settlement.</w:t>
      </w:r>
    </w:p>
    <w:p w14:paraId="37702B17" w14:textId="6AE358FD" w:rsidR="00384534" w:rsidRDefault="00EB0F66">
      <w:pPr>
        <w:pStyle w:val="CaseStudyBody"/>
        <w:keepLines/>
        <w:shd w:val="clear" w:color="auto" w:fill="F4F6F9"/>
      </w:pPr>
      <w:r>
        <w:t>This case illustrates sexual violence outside an intimate or family relationship and shows how an employer can exploit migration aspirations and workplace power. The Second Action Plan must preserve dedicated sexual violence expertise and ensure accessible support across workplace, migration, health and justice systems.</w:t>
      </w:r>
    </w:p>
    <w:p w14:paraId="01475E46" w14:textId="77777777" w:rsidR="00ED4B9D" w:rsidRDefault="00BB179C">
      <w:pPr>
        <w:pStyle w:val="Heading1"/>
      </w:pPr>
      <w:r>
        <w:rPr>
          <w:rFonts w:ascii="Calibri" w:hAnsi="Calibri"/>
        </w:rPr>
        <w:t>Priority area 1: Victim-survivors</w:t>
      </w:r>
    </w:p>
    <w:p w14:paraId="29F84320" w14:textId="77777777" w:rsidR="00ED4B9D" w:rsidRDefault="00BB179C">
      <w:pPr>
        <w:pStyle w:val="Heading2"/>
      </w:pPr>
      <w:r>
        <w:rPr>
          <w:rFonts w:ascii="Calibri" w:hAnsi="Calibri"/>
        </w:rPr>
        <w:t>Recognise migration-related and transnational forms of abuse</w:t>
      </w:r>
    </w:p>
    <w:p w14:paraId="3433F619" w14:textId="57441F95" w:rsidR="00ED4B9D" w:rsidRPr="00103CE3" w:rsidRDefault="007D1224">
      <w:pPr>
        <w:rPr>
          <w:color w:val="EE0000"/>
        </w:rPr>
      </w:pPr>
      <w:r>
        <w:t>For many women</w:t>
      </w:r>
      <w:r w:rsidR="00A84BF2">
        <w:t>,</w:t>
      </w:r>
      <w:r>
        <w:t xml:space="preserve"> children </w:t>
      </w:r>
      <w:r w:rsidR="00A84BF2">
        <w:t xml:space="preserve">and young people </w:t>
      </w:r>
      <w:r>
        <w:t xml:space="preserve">supported by IWSS, identity, community and belonging are central to their lives. People using violence can exploit these connections by threatening deportation, withdrawing sponsorship, withholding passports and identity documents, controlling immigration accounts, providing false information about Australian law, preventing English-language learning, obstructing work or </w:t>
      </w:r>
      <w:r>
        <w:lastRenderedPageBreak/>
        <w:t>study, and threatening separation from children or relatives overseas. Visa categories with limited family violence protections can leave victim-survivors choosing between continued abuse, destitution and loss of lawful status.</w:t>
      </w:r>
    </w:p>
    <w:p w14:paraId="482AB4C0" w14:textId="071565E5" w:rsidR="004F358E" w:rsidRDefault="00BB179C">
      <w:pPr>
        <w:rPr>
          <w:color w:val="EE0000"/>
        </w:rPr>
      </w:pPr>
      <w:r>
        <w:rPr>
          <w:color w:val="000000"/>
        </w:rPr>
        <w:t>Abuse can continue across borders through digital surveillance, financial control, threats to relatives</w:t>
      </w:r>
      <w:r w:rsidR="00D42F35">
        <w:rPr>
          <w:color w:val="000000"/>
        </w:rPr>
        <w:t xml:space="preserve"> or extended family</w:t>
      </w:r>
      <w:r>
        <w:rPr>
          <w:color w:val="000000"/>
        </w:rPr>
        <w:t>, disputes over overseas property or dowry, forced travel, withholding</w:t>
      </w:r>
      <w:r w:rsidR="00D42F35">
        <w:rPr>
          <w:color w:val="000000"/>
        </w:rPr>
        <w:t xml:space="preserve"> and threatening</w:t>
      </w:r>
      <w:r>
        <w:rPr>
          <w:color w:val="000000"/>
        </w:rPr>
        <w:t xml:space="preserve"> of children, and the use of family or community networks to locate and monitor a victim-survivor. Risk assessment and safety planning must extend beyond the co-resident intimate partner model and consider multiple people, jurisdictions, digital platforms and immigration consequences.</w:t>
      </w:r>
    </w:p>
    <w:p w14:paraId="229271AD" w14:textId="3D4E3585" w:rsidR="001B1844" w:rsidRPr="00103CE3" w:rsidRDefault="001B1844">
      <w:pPr>
        <w:rPr>
          <w:color w:val="EE0000"/>
        </w:rPr>
      </w:pPr>
      <w:r>
        <w:t>Forcibly displaced women</w:t>
      </w:r>
      <w:r w:rsidR="00A56A3E">
        <w:t>,</w:t>
      </w:r>
      <w:r>
        <w:t xml:space="preserve"> children</w:t>
      </w:r>
      <w:r w:rsidR="00A56A3E">
        <w:t xml:space="preserve"> and young people </w:t>
      </w:r>
      <w:r>
        <w:t>including refugees and people seeking asylum, may carry experiences of conflict-related sexual violence, persecution, family separation and prolonged insecurity. IWSS’s practice experience shows that these histories can affect trust, disclosure and engagement with police, courts and government agencies. They should inform trauma and violence-informed responses without defining a person solely through past trauma. The Second Action Plan should recognise conflict-related and migration-related gender-based violence and ensure that settlement, health and specialist services have pathways to respond.</w:t>
      </w:r>
    </w:p>
    <w:p w14:paraId="49A188C6" w14:textId="77777777" w:rsidR="00ED4B9D" w:rsidRDefault="00BB179C">
      <w:pPr>
        <w:pStyle w:val="Recommendation"/>
      </w:pPr>
      <w:r>
        <w:t>Guarantee safety regardless of visa status</w:t>
      </w:r>
    </w:p>
    <w:p w14:paraId="5508FDBA" w14:textId="036347A8" w:rsidR="00ED4B9D" w:rsidRDefault="00BB179C">
      <w:r>
        <w:rPr>
          <w:color w:val="000000"/>
        </w:rPr>
        <w:t xml:space="preserve">Create nationally consistent access to crisis payments, income support, Medicare, housing, legal assistance, interpreting, counselling and recovery supports for victim-survivors and their </w:t>
      </w:r>
      <w:r w:rsidR="00DA5705">
        <w:rPr>
          <w:color w:val="000000"/>
        </w:rPr>
        <w:t>dependents</w:t>
      </w:r>
      <w:r>
        <w:rPr>
          <w:color w:val="000000"/>
        </w:rPr>
        <w:t>, regardless of visa category. Expand family violence protections across visa pathways and establish safe, timely immigration advice and review mechanisms.</w:t>
      </w:r>
    </w:p>
    <w:p w14:paraId="54FAB4B1" w14:textId="77777777" w:rsidR="00ED4B9D" w:rsidRDefault="00BB179C">
      <w:pPr>
        <w:pStyle w:val="Recommendation"/>
      </w:pPr>
      <w:r>
        <w:t>Adopt migration-informed risk and safety practice</w:t>
      </w:r>
    </w:p>
    <w:p w14:paraId="30F2C843" w14:textId="771B8726" w:rsidR="00ED4B9D" w:rsidRDefault="00BB179C">
      <w:r>
        <w:t>Update national risk principles, training and service standards to address visa-related coercive control, transnational and multi-perpetrator abuse, forced marriage, including child and early marriage, dowry abuse, exit trafficking, technology-facilitated abuse, modern slavery, document and account control, and threats made across borders.</w:t>
      </w:r>
    </w:p>
    <w:p w14:paraId="6CF983A2" w14:textId="77777777" w:rsidR="00ED4B9D" w:rsidRDefault="00BB179C">
      <w:pPr>
        <w:pStyle w:val="Heading2"/>
      </w:pPr>
      <w:r>
        <w:rPr>
          <w:rFonts w:ascii="Calibri" w:hAnsi="Calibri"/>
        </w:rPr>
        <w:t>Language access is a safety obligation</w:t>
      </w:r>
    </w:p>
    <w:p w14:paraId="3B3BE120" w14:textId="01B0225E" w:rsidR="00ED4B9D" w:rsidRDefault="00BB179C">
      <w:r>
        <w:rPr>
          <w:color w:val="000000"/>
        </w:rPr>
        <w:t xml:space="preserve">A service is not accessible if a victim-survivor cannot understand </w:t>
      </w:r>
      <w:r w:rsidR="00B06EB5">
        <w:rPr>
          <w:color w:val="000000"/>
        </w:rPr>
        <w:t>their</w:t>
      </w:r>
      <w:r>
        <w:rPr>
          <w:color w:val="000000"/>
        </w:rPr>
        <w:t xml:space="preserve"> rights, choices, risks or obligations. Language access must be a core service cost, not treated as discretionary brokerage.</w:t>
      </w:r>
    </w:p>
    <w:p w14:paraId="03386B76" w14:textId="69EC42F1" w:rsidR="00ED4B9D" w:rsidRDefault="00BB179C">
      <w:r>
        <w:rPr>
          <w:color w:val="000000"/>
        </w:rPr>
        <w:t xml:space="preserve">Children, relatives, community members and the person using violence must never be relied on to interpret. Qualified interpreters need domestic and family violence and sexual violence </w:t>
      </w:r>
      <w:r w:rsidR="0085727A">
        <w:rPr>
          <w:color w:val="000000"/>
        </w:rPr>
        <w:t xml:space="preserve">language </w:t>
      </w:r>
      <w:r>
        <w:rPr>
          <w:color w:val="000000"/>
        </w:rPr>
        <w:t xml:space="preserve">capability, </w:t>
      </w:r>
      <w:r>
        <w:rPr>
          <w:color w:val="000000"/>
        </w:rPr>
        <w:lastRenderedPageBreak/>
        <w:t>clear confidentiality obligations and conflict checks. Victim-survivors should be offered choice about interpreter gender, dialect and location where possible. Services also need safe procedures for small language communities where anonymity is difficult.</w:t>
      </w:r>
    </w:p>
    <w:p w14:paraId="267F3163" w14:textId="77777777" w:rsidR="00ED4B9D" w:rsidRDefault="00BB179C">
      <w:r>
        <w:t>Written information should be translated, accessible and available through channels controlled by the victim-survivor. Digital delivery is not safe when a device, email account or government portal is monitored. Government commissioning and funding agreements should include measurable language-access requirements, monitoring and reporting so safe communication is embedded in service delivery.</w:t>
      </w:r>
    </w:p>
    <w:p w14:paraId="78965A30" w14:textId="77777777" w:rsidR="00ED4B9D" w:rsidRDefault="00BB179C">
      <w:pPr>
        <w:pStyle w:val="Heading2"/>
      </w:pPr>
      <w:r>
        <w:rPr>
          <w:rFonts w:ascii="Calibri" w:hAnsi="Calibri"/>
        </w:rPr>
        <w:t>Housing, income and recovery are part of safety</w:t>
      </w:r>
    </w:p>
    <w:p w14:paraId="3B0ECF43" w14:textId="44449AF5" w:rsidR="00ED4B9D" w:rsidRDefault="00704BD2">
      <w:r>
        <w:rPr>
          <w:color w:val="000000"/>
        </w:rPr>
        <w:t xml:space="preserve">For many women and children, </w:t>
      </w:r>
      <w:r w:rsidR="00BB179C">
        <w:rPr>
          <w:color w:val="000000"/>
        </w:rPr>
        <w:t>leaving violence</w:t>
      </w:r>
      <w:r>
        <w:rPr>
          <w:color w:val="000000"/>
        </w:rPr>
        <w:t xml:space="preserve"> can</w:t>
      </w:r>
      <w:r w:rsidR="00BB179C">
        <w:rPr>
          <w:color w:val="000000"/>
        </w:rPr>
        <w:t xml:space="preserve"> result in homelessness, destitution, loss of health care or immigration </w:t>
      </w:r>
      <w:r w:rsidR="00A577C2">
        <w:rPr>
          <w:color w:val="000000"/>
        </w:rPr>
        <w:t>uncertainty</w:t>
      </w:r>
      <w:r w:rsidR="00BB179C">
        <w:rPr>
          <w:color w:val="000000"/>
        </w:rPr>
        <w:t>. Safe and affordable housing, income, transport, legal assistance, employment support and flexible brokerage are prevention, response and recovery infrastructure.</w:t>
      </w:r>
    </w:p>
    <w:p w14:paraId="4231FF80" w14:textId="77777777" w:rsidR="00ED4B9D" w:rsidRDefault="00BB179C">
      <w:r>
        <w:rPr>
          <w:color w:val="000000"/>
        </w:rPr>
        <w:t>Eligibility rules often exclude temporary visa holders and fail to account for missing identity documents, unsafe joint accounts, disrupted employment, limited rental history, visa-linked work restrictions or the time required to resolve intersecting legal matters. Recovery supports should follow need rather than visa category or continued engagement with a crisis service.</w:t>
      </w:r>
    </w:p>
    <w:p w14:paraId="1323BA41" w14:textId="77777777" w:rsidR="00ED4B9D" w:rsidRPr="003842DF" w:rsidRDefault="00BB179C">
      <w:pPr>
        <w:pStyle w:val="Recommendation"/>
        <w:rPr>
          <w:color w:val="EE0000"/>
        </w:rPr>
      </w:pPr>
      <w:r>
        <w:t>Ensure equitable access to recovery supports</w:t>
      </w:r>
    </w:p>
    <w:p w14:paraId="5CAD008A" w14:textId="77777777" w:rsidR="00ED4B9D" w:rsidRPr="003842DF" w:rsidRDefault="00BB179C">
      <w:pPr>
        <w:rPr>
          <w:color w:val="EE0000"/>
        </w:rPr>
      </w:pPr>
      <w:r>
        <w:rPr>
          <w:color w:val="000000"/>
        </w:rPr>
        <w:t>Commonwealth and intergovernmental eligibility rules should support timely access to safe housing, income, health care, education, employment pathways, child care and legal assistance. Flexible brokerage and specialist navigation are needed where victim-survivors face intersecting legal, migration and service-system barriers.</w:t>
      </w:r>
    </w:p>
    <w:p w14:paraId="73FA9F6C" w14:textId="77777777" w:rsidR="00ED4B9D" w:rsidRDefault="00BB179C">
      <w:pPr>
        <w:pStyle w:val="Heading2"/>
      </w:pPr>
      <w:r>
        <w:rPr>
          <w:rFonts w:ascii="Calibri" w:hAnsi="Calibri"/>
        </w:rPr>
        <w:t>Prevent systems from becoming tools of abuse</w:t>
      </w:r>
    </w:p>
    <w:p w14:paraId="70C2E4A6" w14:textId="77777777" w:rsidR="00ED4B9D" w:rsidRDefault="00BB179C">
      <w:r>
        <w:rPr>
          <w:color w:val="000000"/>
        </w:rPr>
        <w:t>IWSS sees people using violence extend control through family law, child protection, child support, policing, migration processes and other administrative systems. Tactics include vexatious applications, repeated reports, manipulation of records, non-compliance with orders and allegations that exploit racism or stereotypes about migrant mothers.</w:t>
      </w:r>
    </w:p>
    <w:p w14:paraId="7FCA9C3A" w14:textId="77777777" w:rsidR="00063DB4" w:rsidRDefault="00BB179C">
      <w:pPr>
        <w:rPr>
          <w:color w:val="000000"/>
        </w:rPr>
      </w:pPr>
      <w:r>
        <w:rPr>
          <w:color w:val="000000"/>
        </w:rPr>
        <w:t>Women with limited English, insecure visas or previous experiences of state violence face a heightened risk of being misidentified, disbelieved or treated as non-compliant. A lack of shared understanding across systems can require women to repeat traumatic accounts while no agency holds responsibility for coordinated safety.</w:t>
      </w:r>
      <w:r w:rsidR="003842DF">
        <w:rPr>
          <w:color w:val="000000"/>
        </w:rPr>
        <w:t xml:space="preserve">  </w:t>
      </w:r>
    </w:p>
    <w:p w14:paraId="1AD85AE1" w14:textId="77777777" w:rsidR="00063DB4" w:rsidRDefault="00063DB4">
      <w:pPr>
        <w:rPr>
          <w:color w:val="000000"/>
        </w:rPr>
      </w:pPr>
    </w:p>
    <w:p w14:paraId="79231C50" w14:textId="5E3A7015" w:rsidR="00ED4B9D" w:rsidRDefault="003842DF">
      <w:pPr>
        <w:pStyle w:val="Heading3"/>
        <w:rPr>
          <w:color w:val="EE0000"/>
        </w:rPr>
      </w:pPr>
      <w:r>
        <w:rPr>
          <w:rFonts w:ascii="Calibri" w:hAnsi="Calibri"/>
        </w:rPr>
        <w:t>Case study: Thuy, migration processes and systems abuse</w:t>
      </w:r>
    </w:p>
    <w:p w14:paraId="5CF5F31E" w14:textId="1DD99639" w:rsidR="007D17FE" w:rsidRDefault="007D17FE" w:rsidP="007D17FE">
      <w:pPr>
        <w:pStyle w:val="CaseStudyBody"/>
        <w:keepLines/>
        <w:shd w:val="clear" w:color="auto" w:fill="F4F6F9"/>
      </w:pPr>
      <w:r>
        <w:t>Thuy held a temporary partner visa when she fled violence by her partner and his family. She was living in a refuge and receiving specialist support when her former partner made allegations about her to the Department of Home Affairs.</w:t>
      </w:r>
    </w:p>
    <w:p w14:paraId="627CABCD" w14:textId="3E64A143" w:rsidR="007D17FE" w:rsidRDefault="007D17FE" w:rsidP="007D17FE">
      <w:pPr>
        <w:pStyle w:val="CaseStudyBody"/>
        <w:keepLines/>
        <w:shd w:val="clear" w:color="auto" w:fill="F4F6F9"/>
      </w:pPr>
      <w:r>
        <w:t>Home Affairs issued a notice indicating that her visa could be refused. Responding required Thuy to revisit the abuse and defend her credibility within a complex migration process. The published account records that this caused panic attacks, anxiety and retraumatisation while she was trying to establish safety.</w:t>
      </w:r>
    </w:p>
    <w:p w14:paraId="74488D79" w14:textId="34DD5018" w:rsidR="005A25DE" w:rsidRDefault="007D17FE" w:rsidP="00477FEA">
      <w:pPr>
        <w:pStyle w:val="CaseStudyBody"/>
        <w:keepLines/>
        <w:shd w:val="clear" w:color="auto" w:fill="F4F6F9"/>
        <w:spacing w:after="160"/>
      </w:pPr>
      <w:r>
        <w:t>Thuy’s experience illustrates how administrative systems can become another site of post-separation control. Agencies should assess allegations within the full history and pattern of violence, provide procedural fairness and avoid placing the burden of disproving a perpetrator’s account on the victim-survivor.</w:t>
      </w:r>
      <w:r w:rsidR="00477FEA">
        <w:t xml:space="preserve">     </w:t>
      </w:r>
      <w:r w:rsidR="0070087C">
        <w:t xml:space="preserve">Thuy is the pseudonym </w:t>
      </w:r>
    </w:p>
    <w:p w14:paraId="51D93F80" w14:textId="77777777" w:rsidR="00ED4B9D" w:rsidRDefault="00BB179C">
      <w:pPr>
        <w:pStyle w:val="Recommendation"/>
      </w:pPr>
      <w:r>
        <w:t>Address systems abuse and misidentification</w:t>
      </w:r>
    </w:p>
    <w:p w14:paraId="1665F6A8" w14:textId="77777777" w:rsidR="00ED4B9D" w:rsidRDefault="00BB179C">
      <w:r>
        <w:rPr>
          <w:color w:val="000000"/>
        </w:rPr>
        <w:t>Introduce national practice guidance, review and accountability mechanisms for systems abuse, predominant aggressor identification and cross-system risk. Provide specialist cultural and disability liaison functions, qualified interpreters, legal representation and safe complaint pathways.</w:t>
      </w:r>
    </w:p>
    <w:p w14:paraId="60B446BF" w14:textId="77777777" w:rsidR="00ED4B9D" w:rsidRDefault="00BB179C">
      <w:pPr>
        <w:pStyle w:val="Heading1"/>
      </w:pPr>
      <w:r>
        <w:rPr>
          <w:rFonts w:ascii="Calibri" w:hAnsi="Calibri"/>
        </w:rPr>
        <w:t>Priority area 2: Prevention and early intervention</w:t>
      </w:r>
    </w:p>
    <w:p w14:paraId="7F0B04AB" w14:textId="77777777" w:rsidR="00ED4B9D" w:rsidRDefault="00BB179C">
      <w:pPr>
        <w:pStyle w:val="Heading2"/>
      </w:pPr>
      <w:r>
        <w:rPr>
          <w:rFonts w:ascii="Calibri" w:hAnsi="Calibri"/>
        </w:rPr>
        <w:t>Fund community-led prevention as long-term infrastructure</w:t>
      </w:r>
    </w:p>
    <w:p w14:paraId="4AB474F4" w14:textId="77777777" w:rsidR="00ED4B9D" w:rsidRDefault="00BB179C">
      <w:r>
        <w:rPr>
          <w:color w:val="000000"/>
        </w:rPr>
        <w:t>Community leadership strengthens relevance, trust and reach. However, consultation without decision-making power or sustained resources shifts work and risk onto communities. The Second Action Plan should fund communities to design, deliver and evaluate prevention over time, with specialist gendered violence expertise built into governance and safety.</w:t>
      </w:r>
    </w:p>
    <w:tbl>
      <w:tblPr>
        <w:tblW w:w="0" w:type="auto"/>
        <w:tblLayout w:type="fixed"/>
        <w:tblLook w:val="04A0" w:firstRow="1" w:lastRow="0" w:firstColumn="1" w:lastColumn="0" w:noHBand="0" w:noVBand="1"/>
      </w:tblPr>
      <w:tblGrid>
        <w:gridCol w:w="9648"/>
      </w:tblGrid>
      <w:tr w:rsidR="00ED4B9D" w14:paraId="0DA6C4DA" w14:textId="77777777">
        <w:tc>
          <w:tcPr>
            <w:tcW w:w="9648" w:type="dxa"/>
            <w:shd w:val="clear" w:color="auto" w:fill="EAF1F8"/>
            <w:tcMar>
              <w:top w:w="150" w:type="dxa"/>
              <w:left w:w="180" w:type="dxa"/>
              <w:bottom w:w="150" w:type="dxa"/>
              <w:right w:w="180" w:type="dxa"/>
            </w:tcMar>
          </w:tcPr>
          <w:p w14:paraId="07F7A423" w14:textId="77777777" w:rsidR="00ED4B9D" w:rsidRDefault="00BB179C">
            <w:pPr>
              <w:spacing w:after="60"/>
            </w:pPr>
            <w:r>
              <w:rPr>
                <w:b/>
                <w:color w:val="17365D"/>
              </w:rPr>
              <w:t>Community connection requires a safety lens</w:t>
            </w:r>
          </w:p>
          <w:p w14:paraId="426090FB" w14:textId="77777777" w:rsidR="00ED4B9D" w:rsidRDefault="00BB179C">
            <w:pPr>
              <w:spacing w:after="0"/>
            </w:pPr>
            <w:r>
              <w:rPr>
                <w:color w:val="000000"/>
              </w:rPr>
              <w:t>Community can support belonging, healing and recovery. It can also be a setting where a victim-survivor encounters the person using violence, experiences pressure to reconcile, fears loss of social connection, or is monitored through shared networks. Prevention and response models must preserve choice, confidentiality and access to support outside a person’s immediate community. No victim-survivor should be required to seek safety through a community structure connected to the harm.</w:t>
            </w:r>
          </w:p>
        </w:tc>
      </w:tr>
    </w:tbl>
    <w:p w14:paraId="51DAA69A" w14:textId="77777777" w:rsidR="00ED4B9D" w:rsidRDefault="00ED4B9D">
      <w:pPr>
        <w:spacing w:after="0"/>
      </w:pPr>
    </w:p>
    <w:p w14:paraId="4C363FC1" w14:textId="73E1055F" w:rsidR="00ED4B9D" w:rsidRDefault="00BB179C">
      <w:pPr>
        <w:rPr>
          <w:color w:val="000000"/>
        </w:rPr>
      </w:pPr>
      <w:r>
        <w:rPr>
          <w:color w:val="000000"/>
        </w:rPr>
        <w:t xml:space="preserve">Culturally responsive prevention should not present violence as a problem located within </w:t>
      </w:r>
      <w:r w:rsidR="000B5EA4">
        <w:rPr>
          <w:color w:val="000000"/>
        </w:rPr>
        <w:t>cultures</w:t>
      </w:r>
      <w:r>
        <w:rPr>
          <w:color w:val="000000"/>
        </w:rPr>
        <w:t>. It should address the gendered drivers of violence, strengthen women’s leadership, support legal and digital literacy, build bystander capability, and respond to migration and settlement contexts without racialising communities.</w:t>
      </w:r>
    </w:p>
    <w:p w14:paraId="5838B8D6" w14:textId="14BB2967" w:rsidR="0018768C" w:rsidRPr="0018768C" w:rsidRDefault="00866E2D">
      <w:pPr>
        <w:pStyle w:val="Heading3"/>
        <w:rPr>
          <w:color w:val="EE0000"/>
        </w:rPr>
      </w:pPr>
      <w:r>
        <w:rPr>
          <w:rFonts w:ascii="Calibri" w:hAnsi="Calibri"/>
          <w:sz w:val="22"/>
        </w:rPr>
        <w:t xml:space="preserve">Practice case study: </w:t>
      </w:r>
      <w:r w:rsidR="00F64B80">
        <w:rPr>
          <w:rFonts w:ascii="Calibri" w:hAnsi="Calibri"/>
          <w:sz w:val="22"/>
        </w:rPr>
        <w:t>Engaging with community</w:t>
      </w:r>
    </w:p>
    <w:p w14:paraId="58709855" w14:textId="6EB4C502" w:rsidR="00AF6EA2" w:rsidRDefault="00AF6EA2" w:rsidP="00AF6EA2">
      <w:pPr>
        <w:pStyle w:val="CaseStudyBody"/>
        <w:shd w:val="clear" w:color="auto" w:fill="F4F6F9"/>
        <w:spacing w:before="0" w:after="0"/>
        <w:rPr>
          <w:rFonts w:cs="Calibri"/>
          <w:sz w:val="22"/>
        </w:rPr>
      </w:pPr>
      <w:r>
        <w:rPr>
          <w:rFonts w:cs="Calibri"/>
          <w:sz w:val="22"/>
        </w:rPr>
        <w:t xml:space="preserve">IWSS worked with a community women’s group to shape engagement around the priorities identified by participants. The approach began with listening and relationship building rather than a predetermined education package. Bicultural workers supported communication, clarified </w:t>
      </w:r>
      <w:r w:rsidR="00F64B80">
        <w:rPr>
          <w:rFonts w:cs="Calibri"/>
          <w:sz w:val="22"/>
        </w:rPr>
        <w:t xml:space="preserve">IWSS’s </w:t>
      </w:r>
      <w:r w:rsidR="000E1A5C">
        <w:rPr>
          <w:rFonts w:cs="Calibri"/>
          <w:sz w:val="22"/>
        </w:rPr>
        <w:t xml:space="preserve">support services </w:t>
      </w:r>
      <w:r>
        <w:rPr>
          <w:rFonts w:cs="Calibri"/>
          <w:sz w:val="22"/>
        </w:rPr>
        <w:t>and created safe</w:t>
      </w:r>
      <w:r w:rsidR="000E1A5C">
        <w:rPr>
          <w:rFonts w:cs="Calibri"/>
          <w:sz w:val="22"/>
        </w:rPr>
        <w:t>r</w:t>
      </w:r>
      <w:r>
        <w:rPr>
          <w:rFonts w:cs="Calibri"/>
          <w:sz w:val="22"/>
        </w:rPr>
        <w:t xml:space="preserve"> opportunities for women</w:t>
      </w:r>
      <w:r w:rsidR="000E1A5C">
        <w:rPr>
          <w:rFonts w:cs="Calibri"/>
          <w:sz w:val="22"/>
        </w:rPr>
        <w:t>, children and young people</w:t>
      </w:r>
      <w:r>
        <w:rPr>
          <w:rFonts w:cs="Calibri"/>
          <w:sz w:val="22"/>
        </w:rPr>
        <w:t xml:space="preserve"> to ask questions about rights, respectful relationships, domestic and family violence, sexual violence and service access.</w:t>
      </w:r>
    </w:p>
    <w:p w14:paraId="7290D6CF" w14:textId="77777777" w:rsidR="00AF6EA2" w:rsidRDefault="00AF6EA2" w:rsidP="00AF6EA2">
      <w:pPr>
        <w:pStyle w:val="CaseStudyBody"/>
        <w:shd w:val="clear" w:color="auto" w:fill="F4F6F9"/>
        <w:spacing w:before="0" w:after="0"/>
        <w:rPr>
          <w:rFonts w:cs="Calibri"/>
          <w:sz w:val="22"/>
        </w:rPr>
      </w:pPr>
      <w:r>
        <w:rPr>
          <w:rFonts w:cs="Calibri"/>
          <w:sz w:val="22"/>
        </w:rPr>
        <w:t>The partnership connected prevention with practical referral pathways. Women received information in a culturally and linguistically accessible way and knew how to seek confidential specialist assistance outside the group if needed. Participation in community activities was not treated as disclosure, and women retained control over whether and how they engaged with services.</w:t>
      </w:r>
    </w:p>
    <w:p w14:paraId="094A9D15" w14:textId="3B539E21" w:rsidR="00AF6EA2" w:rsidRPr="00AF6EA2" w:rsidRDefault="00AF6EA2" w:rsidP="00AF6EA2">
      <w:pPr>
        <w:pStyle w:val="CaseStudyBody"/>
        <w:shd w:val="clear" w:color="auto" w:fill="F4F6F9"/>
        <w:spacing w:before="0" w:after="0"/>
        <w:rPr>
          <w:rFonts w:cs="Calibri"/>
          <w:sz w:val="27"/>
          <w:szCs w:val="27"/>
        </w:rPr>
      </w:pPr>
      <w:r>
        <w:rPr>
          <w:rFonts w:cs="Calibri"/>
          <w:sz w:val="22"/>
        </w:rPr>
        <w:t>This practice example shows the value of sustained community partnerships. Trust improves the reach of prevention information, but safety requires confidentiality, specialist oversight and options beyond the immediate community. Community organisations should be funded as partners in design and delivery, while specialist services remain responsible for risk assessment, response and recovery support.</w:t>
      </w:r>
    </w:p>
    <w:p w14:paraId="6842C420" w14:textId="77777777" w:rsidR="00ED4B9D" w:rsidRDefault="00BB179C">
      <w:pPr>
        <w:pStyle w:val="Recommendation"/>
      </w:pPr>
      <w:r>
        <w:t>Make economic security a prevention and recovery outcome</w:t>
      </w:r>
    </w:p>
    <w:p w14:paraId="646AF70F" w14:textId="77777777" w:rsidR="00ED4B9D" w:rsidRDefault="00BB179C">
      <w:pPr>
        <w:rPr>
          <w:color w:val="000000"/>
        </w:rPr>
      </w:pPr>
      <w:r>
        <w:rPr>
          <w:color w:val="000000"/>
        </w:rPr>
        <w:t>Link the Second Action Plan to employment rights, skills recognition, secure work, financial capability, child care and social enterprise initiatives. Measure whether women gain safe control of income, work and financial decisions.</w:t>
      </w:r>
      <w:r w:rsidR="00A17FE6">
        <w:rPr>
          <w:color w:val="000000"/>
        </w:rPr>
        <w:t xml:space="preserve"> </w:t>
      </w:r>
    </w:p>
    <w:p w14:paraId="7694E8D1" w14:textId="77777777" w:rsidR="0082405A" w:rsidRPr="0082405A" w:rsidRDefault="0082405A">
      <w:pPr>
        <w:pStyle w:val="Heading3"/>
        <w:rPr>
          <w:color w:val="EE0000"/>
        </w:rPr>
      </w:pPr>
      <w:r>
        <w:rPr>
          <w:rFonts w:ascii="Calibri" w:hAnsi="Calibri"/>
          <w:sz w:val="22"/>
        </w:rPr>
        <w:t>Case study: Inakshi, visa uncertainty and economic recovery</w:t>
      </w:r>
    </w:p>
    <w:p w14:paraId="49B4891E" w14:textId="77777777" w:rsidR="00384534" w:rsidRDefault="00EB0F66">
      <w:pPr>
        <w:pStyle w:val="CaseStudyBody"/>
        <w:keepLines/>
        <w:shd w:val="clear" w:color="auto" w:fill="F4F6F9"/>
      </w:pPr>
      <w:r>
        <w:rPr>
          <w:sz w:val="22"/>
        </w:rPr>
        <w:t>Inakshi arrived in Australia on a visitor visa following her husband’s advice. She was confined to a room in shared accommodation, prevented from contacting others and subjected to family violence. She obtained a protection order, but by the time she received migration advice her visitor visa had expired.</w:t>
      </w:r>
    </w:p>
    <w:p w14:paraId="2DFD3305" w14:textId="77777777" w:rsidR="00384534" w:rsidRDefault="00EB0F66">
      <w:pPr>
        <w:pStyle w:val="CaseStudyBody"/>
        <w:keepLines/>
        <w:shd w:val="clear" w:color="auto" w:fill="F4F6F9"/>
      </w:pPr>
      <w:r>
        <w:rPr>
          <w:sz w:val="22"/>
        </w:rPr>
        <w:lastRenderedPageBreak/>
        <w:t>While waiting for an outcome on a protection visa application, Inakshi held a bridging visa and experienced prolonged uncertainty. Despite having information technology qualifications, she worked as a cleaner. Employers were reluctant to engage her because her visa appeared temporary, and the loss of professional identity, isolation and uncertainty affected her wellbeing.</w:t>
      </w:r>
    </w:p>
    <w:p w14:paraId="659B089A" w14:textId="77777777" w:rsidR="00384534" w:rsidRDefault="00EB0F66">
      <w:pPr>
        <w:pStyle w:val="CaseStudyBody"/>
        <w:keepLines/>
        <w:shd w:val="clear" w:color="auto" w:fill="F4F6F9"/>
      </w:pPr>
      <w:r>
        <w:rPr>
          <w:sz w:val="22"/>
        </w:rPr>
        <w:t>Inakshi’s experience shows that recovery depends on more than immediate physical safety. Secure migration status, recognition of qualifications, appropriate employment, income and connection are integral to rebuilding autonomy. Economic participation programs must account for visa barriers and the effects of violence.</w:t>
      </w:r>
    </w:p>
    <w:p w14:paraId="07A5E838" w14:textId="1127214D" w:rsidR="00384534" w:rsidRDefault="00EB0F66">
      <w:pPr>
        <w:pStyle w:val="CaseStudyBody"/>
        <w:keepLines/>
        <w:shd w:val="clear" w:color="auto" w:fill="F4F6F9"/>
        <w:spacing w:after="160"/>
      </w:pPr>
      <w:r>
        <w:t>Inakshi is</w:t>
      </w:r>
      <w:r w:rsidR="00477FEA">
        <w:t xml:space="preserve"> a</w:t>
      </w:r>
      <w:r>
        <w:t xml:space="preserve"> </w:t>
      </w:r>
      <w:r w:rsidR="00477FEA">
        <w:t xml:space="preserve">pseudonym. </w:t>
      </w:r>
      <w:r>
        <w:t xml:space="preserve"> </w:t>
      </w:r>
    </w:p>
    <w:p w14:paraId="02CA71E2" w14:textId="77777777" w:rsidR="00ED4B9D" w:rsidRDefault="00BB179C">
      <w:pPr>
        <w:pStyle w:val="Heading1"/>
      </w:pPr>
      <w:r>
        <w:rPr>
          <w:rFonts w:ascii="Calibri" w:hAnsi="Calibri"/>
        </w:rPr>
        <w:t>Priority area 3: Children and young people in their own right</w:t>
      </w:r>
    </w:p>
    <w:p w14:paraId="2B7F8DCC" w14:textId="410878DA" w:rsidR="00ED4B9D" w:rsidRDefault="00BB179C">
      <w:r>
        <w:t xml:space="preserve">Children and young people experience domestic and family violence and sexual violence as </w:t>
      </w:r>
      <w:r w:rsidR="00EF6DCE">
        <w:t>victim-survivors</w:t>
      </w:r>
      <w:r>
        <w:t>. They require independent, age-appropriate, developmentally informed and culturally responsive assessment and support. Responses should also recognise the current and longer-term barriers faced by the protective parent, most often the mother, without making the child’s access to support dependent on the parent’s eligibility.</w:t>
      </w:r>
    </w:p>
    <w:p w14:paraId="576F8268" w14:textId="149B5F93" w:rsidR="00ED4B9D" w:rsidRDefault="004610E4">
      <w:r>
        <w:t xml:space="preserve">Children from migrant and </w:t>
      </w:r>
      <w:r w:rsidR="00BB179C">
        <w:t>refugee</w:t>
      </w:r>
      <w:r>
        <w:t xml:space="preserve"> and </w:t>
      </w:r>
      <w:r w:rsidR="00BE4511">
        <w:t>asylum-seeking</w:t>
      </w:r>
      <w:r>
        <w:t xml:space="preserve"> backgrounds</w:t>
      </w:r>
      <w:r w:rsidR="00BB179C">
        <w:t xml:space="preserve"> may also navigate family separation, disrupted schooling, settlement stress, racism, disability, intergenerational trauma and </w:t>
      </w:r>
      <w:r w:rsidR="00BE4511">
        <w:t xml:space="preserve">experience </w:t>
      </w:r>
      <w:r w:rsidR="00BB179C">
        <w:t>uncertaint</w:t>
      </w:r>
      <w:r w:rsidR="00BE4511">
        <w:t>y</w:t>
      </w:r>
      <w:r w:rsidR="00BB179C">
        <w:t xml:space="preserve"> </w:t>
      </w:r>
      <w:r w:rsidR="00BE4511">
        <w:t>with</w:t>
      </w:r>
      <w:r w:rsidR="00BB179C">
        <w:t xml:space="preserve"> visa status. Some act as language brokers or digital intermediaries for adults. This places children in unsafe roles, exposes them to information they should not carry, can blur parent and child roles and can affect family relationships and how services understand family dynamics.</w:t>
      </w:r>
    </w:p>
    <w:p w14:paraId="6BEAC292" w14:textId="77777777" w:rsidR="00ED4B9D" w:rsidRDefault="00BB179C">
      <w:r>
        <w:rPr>
          <w:color w:val="000000"/>
        </w:rPr>
        <w:t>Children must have safe access to interpreters and confidential information. Their views should be heard without requiring them to translate, mediate or choose between family and safety. Responses should avoid pathologising cultural difference and should distinguish intergenerational negotiation from coercion and violence.</w:t>
      </w:r>
    </w:p>
    <w:p w14:paraId="28373F5F" w14:textId="77777777" w:rsidR="00ED4B9D" w:rsidRDefault="00BB179C">
      <w:pPr>
        <w:rPr>
          <w:color w:val="000000"/>
        </w:rPr>
      </w:pPr>
      <w:r>
        <w:rPr>
          <w:color w:val="000000"/>
        </w:rPr>
        <w:t>Young people using violence in the home or in intimate relationships need developmentally appropriate intervention that centres the safety of victim-survivors. Programs should respond to trauma, disability, harmful sexual behaviours, technology use and migration experiences while maintaining accountability.</w:t>
      </w:r>
    </w:p>
    <w:p w14:paraId="01C02B96" w14:textId="070CE0EF" w:rsidR="00DA5705" w:rsidRDefault="00DA5705">
      <w:r>
        <w:rPr>
          <w:color w:val="000000"/>
        </w:rPr>
        <w:t>Children who are victim-survivors need to be assessed independently with a sensitive framework of trauma-informed, cultural lens and respectful understanding of the current and long-term vulnerabilities of a parent, normally the mother, who is the significant protective parent.</w:t>
      </w:r>
    </w:p>
    <w:p w14:paraId="6A86DB61" w14:textId="77777777" w:rsidR="00ED4B9D" w:rsidRDefault="00BB179C">
      <w:pPr>
        <w:pStyle w:val="Recommendation"/>
      </w:pPr>
      <w:r>
        <w:lastRenderedPageBreak/>
        <w:t>Fund independent, culturally responsive child and youth responses</w:t>
      </w:r>
    </w:p>
    <w:p w14:paraId="529AF719" w14:textId="63CE2119" w:rsidR="00ED4B9D" w:rsidRDefault="00BB179C">
      <w:r>
        <w:rPr>
          <w:color w:val="000000"/>
        </w:rPr>
        <w:t xml:space="preserve">Expand specialist counselling, therapeutic recovery, advocacy and case coordination for children of all ages. Fund </w:t>
      </w:r>
      <w:r w:rsidR="00942D1D">
        <w:rPr>
          <w:color w:val="000000"/>
        </w:rPr>
        <w:t>prevention of</w:t>
      </w:r>
      <w:r>
        <w:rPr>
          <w:color w:val="000000"/>
        </w:rPr>
        <w:t xml:space="preserve"> harmful sexual behaviours and adolescent violence that are developmentally appropriate, family-aware and linked to victim-survivor safety.</w:t>
      </w:r>
    </w:p>
    <w:p w14:paraId="1E065246" w14:textId="77777777" w:rsidR="00ED4B9D" w:rsidRDefault="00BB179C">
      <w:pPr>
        <w:pStyle w:val="Recommendation"/>
      </w:pPr>
      <w:r>
        <w:t>Centre children’s voices and rights across systems</w:t>
      </w:r>
    </w:p>
    <w:p w14:paraId="738F1940" w14:textId="41A3F041" w:rsidR="00ED4B9D" w:rsidRDefault="00BB179C">
      <w:r>
        <w:rPr>
          <w:color w:val="000000"/>
        </w:rPr>
        <w:t>Require child-safe participation, independent interpreting, culturally responsive assessment and coordinated support across family law, child protection, education, health, migration and specialist services. Prohibit</w:t>
      </w:r>
      <w:r w:rsidR="00EB0196">
        <w:rPr>
          <w:color w:val="000000"/>
        </w:rPr>
        <w:t>, as a mandatory guideline</w:t>
      </w:r>
      <w:r>
        <w:rPr>
          <w:color w:val="000000"/>
        </w:rPr>
        <w:t xml:space="preserve"> reliance</w:t>
      </w:r>
      <w:r w:rsidR="00EB0196">
        <w:rPr>
          <w:color w:val="000000"/>
        </w:rPr>
        <w:t xml:space="preserve"> at any stage</w:t>
      </w:r>
      <w:r>
        <w:rPr>
          <w:color w:val="000000"/>
        </w:rPr>
        <w:t xml:space="preserve"> on children as interpreters.</w:t>
      </w:r>
    </w:p>
    <w:p w14:paraId="53C89393" w14:textId="77777777" w:rsidR="00ED4B9D" w:rsidRDefault="00BB179C">
      <w:pPr>
        <w:pStyle w:val="Heading1"/>
      </w:pPr>
      <w:r>
        <w:rPr>
          <w:rFonts w:ascii="Calibri" w:hAnsi="Calibri"/>
        </w:rPr>
        <w:t>Priority area 4: People who use violence</w:t>
      </w:r>
    </w:p>
    <w:p w14:paraId="50D25AD3" w14:textId="77777777" w:rsidR="00ED4B9D" w:rsidRDefault="00BB179C">
      <w:r>
        <w:rPr>
          <w:color w:val="000000"/>
        </w:rPr>
        <w:t>The responsibility for violence rests with the person using it. Migration stress, racism, unemployment, trauma, harmful substance use or gambling can shape context and service needs, but they do not excuse violence. Programs must retain a gendered analysis, monitor risk and place the safety of women and children at the centre.</w:t>
      </w:r>
    </w:p>
    <w:p w14:paraId="30F32420" w14:textId="5BA06128" w:rsidR="00ED4B9D" w:rsidRDefault="00BB179C">
      <w:r>
        <w:rPr>
          <w:color w:val="000000"/>
        </w:rPr>
        <w:t>Mainstream behaviour change programs may be inaccessible where language, literacy, visa status, transport, work arrangements or cultural relevance are not addressed. Simple translation of an existing program is insufficient</w:t>
      </w:r>
      <w:r w:rsidR="00EB0196">
        <w:rPr>
          <w:color w:val="000000"/>
        </w:rPr>
        <w:t xml:space="preserve"> when cultural context is a critical consideration</w:t>
      </w:r>
      <w:r>
        <w:rPr>
          <w:color w:val="000000"/>
        </w:rPr>
        <w:t>. Effective responses require community co-design, skilled facilitators, links with specialist women’s services, ongoing risk assessment and evaluation of outcomes for victim-survivors.</w:t>
      </w:r>
    </w:p>
    <w:p w14:paraId="7ABDA06F" w14:textId="1A439997" w:rsidR="00ED4B9D" w:rsidRDefault="00BB179C">
      <w:r>
        <w:rPr>
          <w:color w:val="000000"/>
        </w:rPr>
        <w:t xml:space="preserve">Community leaders and organisations have a role in prevention and early </w:t>
      </w:r>
      <w:r w:rsidR="0053715A">
        <w:rPr>
          <w:color w:val="000000"/>
        </w:rPr>
        <w:t>identification but</w:t>
      </w:r>
      <w:r>
        <w:rPr>
          <w:color w:val="000000"/>
        </w:rPr>
        <w:t xml:space="preserve"> should not hold sole responsibility for risk management or perpetrator intervention. Programs need clear boundaries, specialist oversight and pathways into justice, health, alcohol and other drug, mental health and housing services.</w:t>
      </w:r>
    </w:p>
    <w:p w14:paraId="57C0C719" w14:textId="77777777" w:rsidR="00ED4B9D" w:rsidRDefault="00BB179C">
      <w:pPr>
        <w:pStyle w:val="Recommendation"/>
      </w:pPr>
      <w:r>
        <w:t>Invest in culturally grounded, accountability-focused interventions</w:t>
      </w:r>
    </w:p>
    <w:p w14:paraId="19A2DED4" w14:textId="77777777" w:rsidR="00ED4B9D" w:rsidRDefault="00BB179C">
      <w:r>
        <w:rPr>
          <w:color w:val="000000"/>
        </w:rPr>
        <w:t>Develop and evaluate interventions for migrant and refugee men and young people who use violence, including early intervention and sexual violence perpetration programs. Fund partner support, independent risk monitoring, qualified interpreters and specialist women’s service involvement.</w:t>
      </w:r>
    </w:p>
    <w:p w14:paraId="184B2F34" w14:textId="77777777" w:rsidR="00ED4B9D" w:rsidRDefault="00BB179C">
      <w:pPr>
        <w:pStyle w:val="Recommendation"/>
      </w:pPr>
      <w:r>
        <w:lastRenderedPageBreak/>
        <w:t>Build accountability across systems</w:t>
      </w:r>
    </w:p>
    <w:p w14:paraId="175E9C9C" w14:textId="77777777" w:rsidR="00ED4B9D" w:rsidRDefault="00BB179C">
      <w:pPr>
        <w:rPr>
          <w:color w:val="000000"/>
        </w:rPr>
      </w:pPr>
      <w:r>
        <w:rPr>
          <w:color w:val="000000"/>
        </w:rPr>
        <w:t>Require police, courts, corrections, health, child protection, migration and community programs to share responsibility for identifying patterns, managing risk and preventing systems abuse. Measure changes in behaviour and safety outcomes, not program attendance alone.</w:t>
      </w:r>
    </w:p>
    <w:p w14:paraId="68CB2147" w14:textId="77777777" w:rsidR="005875BB" w:rsidRPr="00CD7353" w:rsidRDefault="005875BB">
      <w:pPr>
        <w:rPr>
          <w:color w:val="EE0000"/>
        </w:rPr>
      </w:pPr>
      <w:r>
        <w:rPr>
          <w:color w:val="000000"/>
        </w:rPr>
        <w:t>System responses and community attitudes can cause serious harm when a victim-survivor is misidentified as the person using violence. Misidentification can affect protection orders, parenting matters, housing, immigration, child protection and access to specialist support. Risk assessment should examine the history, pattern, intent and impact of behaviour, including coercive control, self-defence, language barriers and the influence of the person using violence on professional accounts.</w:t>
      </w:r>
    </w:p>
    <w:p w14:paraId="53C880DA" w14:textId="77777777" w:rsidR="00ED4B9D" w:rsidRDefault="00BB179C">
      <w:pPr>
        <w:pStyle w:val="Heading1"/>
      </w:pPr>
      <w:r>
        <w:rPr>
          <w:rFonts w:ascii="Calibri" w:hAnsi="Calibri"/>
        </w:rPr>
        <w:t>Priority area 5: System integration and workforce</w:t>
      </w:r>
    </w:p>
    <w:p w14:paraId="4E03FFCA" w14:textId="77777777" w:rsidR="00ED4B9D" w:rsidRDefault="00BB179C">
      <w:pPr>
        <w:pStyle w:val="Heading2"/>
      </w:pPr>
      <w:r>
        <w:rPr>
          <w:rFonts w:ascii="Calibri" w:hAnsi="Calibri"/>
        </w:rPr>
        <w:t>Integration failure is a safety failure</w:t>
      </w:r>
    </w:p>
    <w:p w14:paraId="0A78C4FF" w14:textId="77777777" w:rsidR="00ED4B9D" w:rsidRDefault="00BB179C">
      <w:r>
        <w:rPr>
          <w:color w:val="000000"/>
        </w:rPr>
        <w:t>Victim-survivors are often moved between services with different eligibility rules, risk frameworks, evidence requirements and language policies. Referral is not integration. A list of phone numbers leaves the woman to repeat her story, resolve conflicting advice and carry the risk of service failure.</w:t>
      </w:r>
    </w:p>
    <w:p w14:paraId="562A3198" w14:textId="5EB0A097" w:rsidR="00ED4B9D" w:rsidRDefault="00BB179C">
      <w:r>
        <w:rPr>
          <w:color w:val="000000"/>
        </w:rPr>
        <w:t xml:space="preserve">A safe integrated response requires warm referral, </w:t>
      </w:r>
      <w:r w:rsidR="00E3356D">
        <w:rPr>
          <w:color w:val="000000"/>
        </w:rPr>
        <w:t xml:space="preserve">informed </w:t>
      </w:r>
      <w:r>
        <w:rPr>
          <w:color w:val="000000"/>
        </w:rPr>
        <w:t>consent-based information sharing, named contacts, secondary consultation, follow-up and an escalation pathway when a service refuses or cannot respond. Specialist multicultural services should have a funded role across local and national coordination, not an unfunded expectation to repair mainstream gaps.</w:t>
      </w:r>
    </w:p>
    <w:p w14:paraId="2BBD6E95" w14:textId="77777777" w:rsidR="00ED4B9D" w:rsidRPr="00BC2A69" w:rsidRDefault="00BB179C">
      <w:pPr>
        <w:pStyle w:val="Recommendation"/>
        <w:rPr>
          <w:color w:val="EE0000"/>
        </w:rPr>
      </w:pPr>
      <w:r>
        <w:t>Strengthen warm referral and secondary consultation</w:t>
      </w:r>
    </w:p>
    <w:p w14:paraId="1D482638" w14:textId="639E1219" w:rsidR="00ED4B9D" w:rsidRDefault="00BB179C">
      <w:r>
        <w:t>Funded pathways are needed across specialist domestic, family and sexual violence services, settlement, migration, housing, health, legal assistance, policing, courts, child protection, education and income support. Monitoring should identify unsuccessful referrals and recurring access barriers so responsibility for resolving service gaps does not fall on victim-survivors. Commissioning and funding agreements should include measurable requirements for warm referral, escalation, follow-up and reporting.</w:t>
      </w:r>
    </w:p>
    <w:p w14:paraId="74744051" w14:textId="2D9A0103" w:rsidR="00EB0196" w:rsidRPr="00BC2A69" w:rsidRDefault="00EB0196">
      <w:pPr>
        <w:rPr>
          <w:color w:val="EE0000"/>
        </w:rPr>
      </w:pPr>
      <w:r>
        <w:t>Based on the poignant risks seen, IWSS strongly recommends that KPIs and contractual agreements have accountability mechanisms in reporting to ensure this critical need is embedded in service always delivered. Further recommended is the regular mandatory training of staff in culturally competent skills and to ensure a cultural lens is applied in all contact with CALD / NESB background clients.</w:t>
      </w:r>
    </w:p>
    <w:p w14:paraId="73EEEEE2" w14:textId="77777777" w:rsidR="00ED4B9D" w:rsidRPr="009068EE" w:rsidRDefault="00BB179C">
      <w:pPr>
        <w:pStyle w:val="Heading2"/>
        <w:rPr>
          <w:color w:val="EE0000"/>
        </w:rPr>
      </w:pPr>
      <w:r>
        <w:rPr>
          <w:rFonts w:ascii="Calibri" w:hAnsi="Calibri"/>
          <w:sz w:val="22"/>
        </w:rPr>
        <w:lastRenderedPageBreak/>
        <w:t>Build cross-sector capability</w:t>
      </w:r>
    </w:p>
    <w:p w14:paraId="304F4B50" w14:textId="77777777" w:rsidR="00ED4B9D" w:rsidRPr="009068EE" w:rsidRDefault="00BB179C">
      <w:pPr>
        <w:rPr>
          <w:color w:val="EE0000"/>
        </w:rPr>
      </w:pPr>
      <w:r>
        <w:t>Specialist violence workers require capability in migration, settlement, racism, interpreter engagement and transnational risk. Settlement, multicultural and universal service workers require capability to recognise and respond safely to domestic and family violence and sexual violence. This capability requires ongoing training, culturally responsive supervision, clear practice standards and access to specialist secondary consultation.</w:t>
      </w:r>
    </w:p>
    <w:p w14:paraId="6D091599" w14:textId="77777777" w:rsidR="00ED4B9D" w:rsidRPr="009068EE" w:rsidRDefault="00BB179C">
      <w:pPr>
        <w:rPr>
          <w:color w:val="EE0000"/>
        </w:rPr>
      </w:pPr>
      <w:r>
        <w:rPr>
          <w:color w:val="000000"/>
        </w:rPr>
        <w:t>Bicultural workers bring cultural, language and relational expertise that strengthens access, assessment and engagement. Their roles can also involve high community expectations, limited anonymity and exposure to distressing disclosures. Workforce planning should recognise this expertise through appropriate classification, supervision, professional development, wellbeing support and progression pathways.</w:t>
      </w:r>
    </w:p>
    <w:p w14:paraId="108E911C" w14:textId="77777777" w:rsidR="00ED4B9D" w:rsidRPr="009068EE" w:rsidRDefault="00BB179C">
      <w:pPr>
        <w:rPr>
          <w:color w:val="EE0000"/>
        </w:rPr>
      </w:pPr>
      <w:r>
        <w:rPr>
          <w:color w:val="000000"/>
        </w:rPr>
        <w:t>Funding arrangements should support workforce retention, supervision and service continuity. The full cost of delivery includes administration, data, technology, interpreting, outreach, governance, evaluation, infrastructure, clinical supervision and culturally responsive practice.</w:t>
      </w:r>
    </w:p>
    <w:p w14:paraId="4861A2D5" w14:textId="77777777" w:rsidR="00ED4B9D" w:rsidRDefault="00BB179C">
      <w:pPr>
        <w:pStyle w:val="Recommendation"/>
      </w:pPr>
      <w:r>
        <w:t>Adopt a specialist multicultural workforce strategy</w:t>
      </w:r>
    </w:p>
    <w:p w14:paraId="64B0A00A" w14:textId="77777777" w:rsidR="00ED4B9D" w:rsidRDefault="00BB179C">
      <w:r>
        <w:rPr>
          <w:color w:val="000000"/>
        </w:rPr>
        <w:t>Provide long-term indexed funding, competitive remuneration, clinical and cultural supervision, workforce wellbeing, specialist training, bicultural career pathways and funded participation in coordination and policy work.</w:t>
      </w:r>
    </w:p>
    <w:p w14:paraId="66F89797" w14:textId="77777777" w:rsidR="00ED4B9D" w:rsidRDefault="00BB179C">
      <w:pPr>
        <w:pStyle w:val="Recommendation"/>
      </w:pPr>
      <w:r>
        <w:t>Fund the true cost of specialist services</w:t>
      </w:r>
    </w:p>
    <w:p w14:paraId="69DC74A3" w14:textId="77777777" w:rsidR="00ED4B9D" w:rsidRDefault="00BB179C">
      <w:r>
        <w:rPr>
          <w:color w:val="000000"/>
        </w:rPr>
        <w:t>Commission for complexity, quality and outcomes rather than throughput alone. Recognise time spent on interpreting, risk assessment, transnational safety planning, multi-system advocacy, warm referral, child support, legal coordination and secondary consultation.</w:t>
      </w:r>
    </w:p>
    <w:p w14:paraId="497389ED" w14:textId="77777777" w:rsidR="00ED4B9D" w:rsidRDefault="00BB179C">
      <w:pPr>
        <w:pStyle w:val="Heading1"/>
      </w:pPr>
      <w:r>
        <w:rPr>
          <w:rFonts w:ascii="Calibri" w:hAnsi="Calibri"/>
        </w:rPr>
        <w:t>Sexual violence requires dedicated national action</w:t>
      </w:r>
    </w:p>
    <w:p w14:paraId="707F1479" w14:textId="77777777" w:rsidR="00ED4B9D" w:rsidRDefault="00BB179C">
      <w:r>
        <w:rPr>
          <w:color w:val="000000"/>
        </w:rPr>
        <w:t>IWSS supports the sector call for a dedicated National Sexual Violence Strategy and associated funding stream. A distinct strategy should address sexual violence within and outside intimate and family relationships and connect with work on child sexual abuse, online harms, workplaces, education, institutions, trafficking and exploitation.</w:t>
      </w:r>
    </w:p>
    <w:p w14:paraId="56415BD1" w14:textId="77777777" w:rsidR="00ED4B9D" w:rsidRDefault="00BB179C">
      <w:r>
        <w:t xml:space="preserve">For migrant, refugee and asylum seeker victim-survivors, specialist responses should address language access, visa and employment dependency, racialised sexual harassment, unsafe and insecure work, exploitation, transnational threats, community consequences and barriers to criminal and civil justice. </w:t>
      </w:r>
      <w:r>
        <w:lastRenderedPageBreak/>
        <w:t>International students, temporary migrant workers and people recruited through labour mobility arrangements can face heightened risks where employment, accommodation and visa pathways are linked. Disclosure must not be made conditional on police reporting.</w:t>
      </w:r>
    </w:p>
    <w:p w14:paraId="246C567E" w14:textId="77777777" w:rsidR="00ED4B9D" w:rsidRDefault="00BB179C">
      <w:r>
        <w:rPr>
          <w:color w:val="000000"/>
        </w:rPr>
        <w:t>Investment in generalist services should not shift complex work to specialist sexual violence services without corresponding resources. Specialist services should lead practice standards, workforce development, prevention and recovery responses.</w:t>
      </w:r>
    </w:p>
    <w:p w14:paraId="6B3ED306" w14:textId="77777777" w:rsidR="00ED4B9D" w:rsidRDefault="00BB179C">
      <w:pPr>
        <w:pStyle w:val="Recommendation"/>
      </w:pPr>
      <w:r>
        <w:t>Establish a National Sexual Violence Strategy and dedicated funding stream</w:t>
      </w:r>
    </w:p>
    <w:p w14:paraId="6432704F" w14:textId="264CC124" w:rsidR="00ED4B9D" w:rsidRDefault="00BB179C">
      <w:pPr>
        <w:rPr>
          <w:color w:val="000000"/>
        </w:rPr>
      </w:pPr>
      <w:r>
        <w:rPr>
          <w:color w:val="000000"/>
        </w:rPr>
        <w:t>Develop the strategy with specialist</w:t>
      </w:r>
      <w:r w:rsidR="00FA61DF">
        <w:rPr>
          <w:color w:val="000000"/>
        </w:rPr>
        <w:t xml:space="preserve"> domestic, family and sexual</w:t>
      </w:r>
      <w:r>
        <w:rPr>
          <w:color w:val="000000"/>
        </w:rPr>
        <w:t xml:space="preserve"> violence services, multicultural specialists and victim-survivors. Include prevention, early intervention, immediate response, long-term recovery, justice options, perpetration interventions, workforce development, research and transparent funding accountability.</w:t>
      </w:r>
    </w:p>
    <w:p w14:paraId="7E0B6C86" w14:textId="77777777" w:rsidR="00BC2A69" w:rsidRDefault="00BC2A69">
      <w:pPr>
        <w:rPr>
          <w:color w:val="000000"/>
        </w:rPr>
      </w:pPr>
    </w:p>
    <w:p w14:paraId="174F4B1E" w14:textId="783C234E" w:rsidR="00BC2A69" w:rsidRPr="00D55F8A" w:rsidRDefault="00BC2A69">
      <w:pPr>
        <w:pStyle w:val="Heading2"/>
        <w:rPr>
          <w:color w:val="EE0000"/>
        </w:rPr>
      </w:pPr>
      <w:r>
        <w:rPr>
          <w:rFonts w:ascii="Calibri" w:hAnsi="Calibri"/>
          <w:color w:val="17365D"/>
          <w:sz w:val="22"/>
        </w:rPr>
        <w:t xml:space="preserve">Case study: </w:t>
      </w:r>
      <w:r w:rsidR="00FA61DF">
        <w:rPr>
          <w:rFonts w:ascii="Calibri" w:hAnsi="Calibri"/>
          <w:color w:val="17365D"/>
          <w:sz w:val="22"/>
        </w:rPr>
        <w:t>Sexual violence and temporary visa exclusions</w:t>
      </w:r>
    </w:p>
    <w:p w14:paraId="580169E1" w14:textId="77777777" w:rsidR="00384534" w:rsidRDefault="00EB0F66">
      <w:pPr>
        <w:pStyle w:val="CaseStudyBody"/>
        <w:keepLines/>
        <w:shd w:val="clear" w:color="auto" w:fill="F4F6F9"/>
      </w:pPr>
      <w:r>
        <w:rPr>
          <w:sz w:val="22"/>
        </w:rPr>
        <w:t>Jovi was in Australia on a working holiday visa when she accepted a one-week cleaning job at a remote construction site. She also lived on site. Her boss sent sexually suggestive messages, asked to touch her body and told her that he had a gun.</w:t>
      </w:r>
    </w:p>
    <w:p w14:paraId="4947CE7B" w14:textId="77777777" w:rsidR="00384534" w:rsidRDefault="00EB0F66">
      <w:pPr>
        <w:pStyle w:val="CaseStudyBody"/>
        <w:keepLines/>
        <w:shd w:val="clear" w:color="auto" w:fill="F4F6F9"/>
      </w:pPr>
      <w:r>
        <w:rPr>
          <w:sz w:val="22"/>
        </w:rPr>
        <w:t>During her first week, the boss came to her accommodation. Jovi reported feeling scared and intimidated and said that he sexually assaulted her. She resigned and left the site. Jovi reported the assault to police, but no charges were laid. She did not pursue the matter further because she believed she would not be believed.</w:t>
      </w:r>
    </w:p>
    <w:p w14:paraId="62C9142E" w14:textId="7AC64BA1" w:rsidR="00384534" w:rsidRDefault="00EB0F66" w:rsidP="00FE2141">
      <w:pPr>
        <w:pStyle w:val="CaseStudyBody"/>
        <w:keepLines/>
        <w:shd w:val="clear" w:color="auto" w:fill="F4F6F9"/>
        <w:spacing w:after="160"/>
      </w:pPr>
      <w:r>
        <w:rPr>
          <w:sz w:val="22"/>
        </w:rPr>
        <w:t xml:space="preserve">Jovi’s experience shows how sexual violence, insecure work, employer power, isolation and visa status can intersect. A person should not have to choose between safety, accommodation, income and future migration options. </w:t>
      </w:r>
      <w:r w:rsidR="00FE2141">
        <w:rPr>
          <w:sz w:val="22"/>
        </w:rPr>
        <w:t>It demonstrates how visa-linked eligibility rules can exclude victim-survivors whose need for safety is immediate. The Second Action Plan should ensure that sexual violence responses cover non-intimate-partner violence and provide support according to need, not visa category or relationship to the person who caused harm.</w:t>
      </w:r>
    </w:p>
    <w:p w14:paraId="57181E33" w14:textId="21314717" w:rsidR="00384534" w:rsidRDefault="00EB0F66">
      <w:pPr>
        <w:pStyle w:val="CaseStudyBody"/>
        <w:keepLines/>
        <w:shd w:val="clear" w:color="auto" w:fill="F4F6F9"/>
        <w:spacing w:after="160"/>
      </w:pPr>
      <w:r>
        <w:t>Jovi is</w:t>
      </w:r>
      <w:r w:rsidR="005D541A">
        <w:t xml:space="preserve"> a</w:t>
      </w:r>
      <w:r>
        <w:t xml:space="preserve"> pseudonym</w:t>
      </w:r>
      <w:r w:rsidR="005D541A">
        <w:t xml:space="preserve">. </w:t>
      </w:r>
    </w:p>
    <w:p w14:paraId="534B5D2C" w14:textId="77777777" w:rsidR="00ED4B9D" w:rsidRDefault="00BB179C">
      <w:pPr>
        <w:pStyle w:val="Heading1"/>
      </w:pPr>
      <w:r>
        <w:rPr>
          <w:rFonts w:ascii="Calibri" w:hAnsi="Calibri"/>
        </w:rPr>
        <w:lastRenderedPageBreak/>
        <w:t>Implementation, evidence and accountability</w:t>
      </w:r>
    </w:p>
    <w:p w14:paraId="0D42483D" w14:textId="6C7FEF2F" w:rsidR="00ED4B9D" w:rsidRDefault="00BB179C">
      <w:r>
        <w:t>The Second Action Plan needs a clear line between commitments, funding, responsibility and outcomes. Broad commitments to diversity have not consistently produced equitable access. Actions affecting migrant and refugee women, children and young people should identify the responsible government, delivery partners, funding source, timeframes, indicators and public reporting mechanisms. Implementation should retain enough flexibility for specialist domestic, family and sexual violence services to develop responses grounded in emerging need and practice evidence.</w:t>
      </w:r>
    </w:p>
    <w:p w14:paraId="42DA0B2D" w14:textId="77777777" w:rsidR="00ED4B9D" w:rsidRDefault="00BB179C">
      <w:pPr>
        <w:rPr>
          <w:color w:val="000000"/>
        </w:rPr>
      </w:pPr>
      <w:r>
        <w:rPr>
          <w:color w:val="000000"/>
        </w:rPr>
        <w:t>National data should better capture country of birth, languages used, interpreter need and provision, year of arrival, migration pathway and visa status where safe and appropriate, alongside disability, age, location, sexuality and gender identity. Collection must be voluntary where appropriate, transparent, privacy-protective and designed with affected communities. The purpose is equity and accountability, not surveillance.</w:t>
      </w:r>
    </w:p>
    <w:p w14:paraId="04B24E05" w14:textId="03D76A0D" w:rsidR="00081E86" w:rsidRPr="007C4CA8" w:rsidRDefault="00CE0542">
      <w:pPr>
        <w:rPr>
          <w:color w:val="000000"/>
        </w:rPr>
      </w:pPr>
      <w:r>
        <w:rPr>
          <w:color w:val="000000"/>
        </w:rPr>
        <w:t>Implementation should identify, evaluate and share promising practice led by specialist multicultural services and communities. Scaling should preserve community ownership, cultural safety and the elements that made the approach effective.</w:t>
      </w:r>
    </w:p>
    <w:p w14:paraId="4767D102" w14:textId="77777777" w:rsidR="00ED4B9D" w:rsidRDefault="00BB179C">
      <w:r>
        <w:rPr>
          <w:color w:val="000000"/>
        </w:rPr>
        <w:t>Service data alone will not show unmet need. People excluded by eligibility rules, unsafe interpreting, distrust, digital barriers or fear of immigration consequences often remain invisible. Evaluation should combine administrative data with qualitative evidence from victim-survivors, practitioners and specialist services.</w:t>
      </w:r>
    </w:p>
    <w:p w14:paraId="1D38DF3D" w14:textId="77777777" w:rsidR="00ED4B9D" w:rsidRPr="00050FBC" w:rsidRDefault="00BB179C">
      <w:pPr>
        <w:pStyle w:val="Heading2"/>
        <w:rPr>
          <w:color w:val="EE0000"/>
        </w:rPr>
      </w:pPr>
      <w:r>
        <w:rPr>
          <w:rFonts w:ascii="Calibri" w:hAnsi="Calibri"/>
          <w:sz w:val="22"/>
        </w:rPr>
        <w:t>Inclusive governance and participation</w:t>
      </w:r>
    </w:p>
    <w:p w14:paraId="29D8DDEF" w14:textId="77777777" w:rsidR="00ED4B9D" w:rsidRPr="00050FBC" w:rsidRDefault="00BB179C">
      <w:pPr>
        <w:rPr>
          <w:color w:val="EE0000"/>
        </w:rPr>
      </w:pPr>
      <w:r>
        <w:rPr>
          <w:color w:val="000000"/>
        </w:rPr>
        <w:t>Governance, implementation and evaluation should include migrant and refugee women, people with lived experience, specialist multicultural services, bicultural practitioners, sexual violence specialists, disability advocates, young people and regional communities. Participation should influence decisions rather than operate as one-off consultation.</w:t>
      </w:r>
    </w:p>
    <w:p w14:paraId="7FC6EB31" w14:textId="77777777" w:rsidR="00ED4B9D" w:rsidRPr="00050FBC" w:rsidRDefault="00BB179C">
      <w:pPr>
        <w:rPr>
          <w:color w:val="EE0000"/>
        </w:rPr>
      </w:pPr>
      <w:r>
        <w:rPr>
          <w:color w:val="000000"/>
        </w:rPr>
        <w:t>Safe and informed participation requires payment, interpreting, accessible information, preparation, support people, choice about attribution, continuing consent and clear advice about how contributions will be used. Governments should report back to participants and communities on decisions and outcomes.</w:t>
      </w:r>
    </w:p>
    <w:p w14:paraId="1BDE46E2" w14:textId="77777777" w:rsidR="00ED4B9D" w:rsidRDefault="00BB179C">
      <w:pPr>
        <w:pStyle w:val="Heading1"/>
      </w:pPr>
      <w:r>
        <w:rPr>
          <w:rFonts w:ascii="Calibri" w:hAnsi="Calibri"/>
        </w:rPr>
        <w:lastRenderedPageBreak/>
        <w:t>Consolidated recommendations</w:t>
      </w:r>
    </w:p>
    <w:p w14:paraId="1E685159" w14:textId="77777777" w:rsidR="005A25DE" w:rsidRDefault="0070087C">
      <w:pPr>
        <w:pStyle w:val="Recommendation"/>
      </w:pPr>
      <w:r>
        <w:t>1. Sustain specialist services and workforce</w:t>
      </w:r>
    </w:p>
    <w:p w14:paraId="23057683" w14:textId="77777777" w:rsidR="005A25DE" w:rsidRDefault="0070087C">
      <w:r>
        <w:t>Provide long-term, indexed funding for specialist multicultural domestic and family violence and sexual violence services. Funding should cover the full cost of complex service delivery, including qualified interpreters and translation, bicultural workers, clinical supervision, workforce wellbeing, professional development, outreach, data, evaluation and practice-led evidence.</w:t>
      </w:r>
    </w:p>
    <w:p w14:paraId="23A03564" w14:textId="77777777" w:rsidR="005A25DE" w:rsidRDefault="0070087C">
      <w:pPr>
        <w:pStyle w:val="Recommendation"/>
      </w:pPr>
      <w:r>
        <w:t>2. Guarantee equitable access to safety and recovery</w:t>
      </w:r>
    </w:p>
    <w:p w14:paraId="542D00D6" w14:textId="266832FB" w:rsidR="005A25DE" w:rsidRDefault="0070087C">
      <w:r>
        <w:t xml:space="preserve">Guarantee access to safe housing, income, health care, child care, legal assistance, qualified independent interpreters and recovery support for victim-survivors and their </w:t>
      </w:r>
      <w:r w:rsidR="00EB0196">
        <w:t>dependents</w:t>
      </w:r>
      <w:r>
        <w:t>, regardless of visa status. Stable housing and economic security should be treated as essential prevention and recovery infrastructure.</w:t>
      </w:r>
    </w:p>
    <w:p w14:paraId="5D8604D5" w14:textId="77777777" w:rsidR="005A25DE" w:rsidRDefault="0070087C">
      <w:pPr>
        <w:pStyle w:val="Recommendation"/>
      </w:pPr>
      <w:r>
        <w:t>3. Build migration-informed and integrated responses</w:t>
      </w:r>
    </w:p>
    <w:p w14:paraId="79743937" w14:textId="77777777" w:rsidR="005A25DE" w:rsidRDefault="0070087C">
      <w:r>
        <w:t>Create nationally consistent policy, risk assessment and practice guidance on visa-related coercive control, transnational and multi-perpetrator abuse, forced marriage, including child and early marriage, dowry abuse, trafficking, systems abuse and victim-survivor misidentification. Integrated pathways should include warm referrals, specialist secondary consultation, named escalation contacts and accountability when referrals fail.</w:t>
      </w:r>
    </w:p>
    <w:p w14:paraId="7AC3EB03" w14:textId="77777777" w:rsidR="005A25DE" w:rsidRDefault="0070087C">
      <w:pPr>
        <w:pStyle w:val="Recommendation"/>
      </w:pPr>
      <w:r>
        <w:t>4. Strengthen sexual violence and child-centred responses</w:t>
      </w:r>
    </w:p>
    <w:p w14:paraId="491BD1FE" w14:textId="77777777" w:rsidR="005A25DE" w:rsidRDefault="0070087C">
      <w:r>
        <w:t>Establish a dedicated National Sexual Violence Strategy and a transparent, flexible funding stream led by specialist expertise and lived experience. Fund independent, culturally responsive and developmentally appropriate prevention, response, recovery and healing services for children and young people.</w:t>
      </w:r>
    </w:p>
    <w:p w14:paraId="4B53D983" w14:textId="77777777" w:rsidR="005A25DE" w:rsidRDefault="0070087C">
      <w:pPr>
        <w:pStyle w:val="Recommendation"/>
      </w:pPr>
      <w:r>
        <w:t>5. Invest in prevention and perpetrator accountability</w:t>
      </w:r>
    </w:p>
    <w:p w14:paraId="6ACC4111" w14:textId="77777777" w:rsidR="005A25DE" w:rsidRDefault="0070087C">
      <w:r>
        <w:t>Invest beyond short-term pilots in community-designed prevention with specialist governance, safeguarding and evaluation. Develop and evaluate culturally grounded interventions for people who use violence, with specialist women’s services involved in design, safety monitoring and accountability, while protecting victim-survivor choice and confidentiality.</w:t>
      </w:r>
    </w:p>
    <w:p w14:paraId="38E91825" w14:textId="77777777" w:rsidR="005A25DE" w:rsidRDefault="0070087C">
      <w:pPr>
        <w:pStyle w:val="Recommendation"/>
      </w:pPr>
      <w:r>
        <w:t>6. Embed equity, lived experience and accountability</w:t>
      </w:r>
    </w:p>
    <w:p w14:paraId="61501DBA" w14:textId="77777777" w:rsidR="005A25DE" w:rsidRDefault="0070087C">
      <w:r>
        <w:t xml:space="preserve">Embed paid and supported participation by migrant and refugee women, victim-survivors and specialist multicultural services in implementation, governance and evaluation. Collect safe, disaggregated equity </w:t>
      </w:r>
      <w:r>
        <w:lastRenderedPageBreak/>
        <w:t>data and report publicly on access, outcomes, unmet need, funding and progress against defined responsibilities and timeframes.</w:t>
      </w:r>
    </w:p>
    <w:p w14:paraId="743F9EFC" w14:textId="77777777" w:rsidR="00ED4B9D" w:rsidRDefault="00BB179C">
      <w:pPr>
        <w:pStyle w:val="Heading1"/>
      </w:pPr>
      <w:r>
        <w:rPr>
          <w:rFonts w:ascii="Calibri" w:hAnsi="Calibri"/>
        </w:rPr>
        <w:t>Conclusion</w:t>
      </w:r>
    </w:p>
    <w:p w14:paraId="47C31418" w14:textId="77777777" w:rsidR="00ED4B9D" w:rsidRDefault="00BB179C">
      <w:r>
        <w:rPr>
          <w:color w:val="000000"/>
        </w:rPr>
        <w:t>The Second Action Plan is an opportunity to move from recognising diversity to designing for equity. Migrant and refugee women, children and young people should not have to overcome migration rules, unsafe language practices, fragmented services and racialised assumptions before the system responds to violence.</w:t>
      </w:r>
    </w:p>
    <w:p w14:paraId="21E6C1F3" w14:textId="113FA012" w:rsidR="00ED4B9D" w:rsidRDefault="00BB179C">
      <w:r>
        <w:rPr>
          <w:color w:val="000000"/>
        </w:rPr>
        <w:t xml:space="preserve">Specialist </w:t>
      </w:r>
      <w:r w:rsidR="00E37BFC">
        <w:rPr>
          <w:color w:val="000000"/>
        </w:rPr>
        <w:t xml:space="preserve">domestic, family and sexual violence </w:t>
      </w:r>
      <w:r>
        <w:rPr>
          <w:color w:val="000000"/>
        </w:rPr>
        <w:t xml:space="preserve">multicultural services hold the expertise, relationships and practice knowledge required to turn national commitments into safe access and sustained recovery. Their role should be embedded and funded across prevention, early intervention, </w:t>
      </w:r>
      <w:r w:rsidR="00BB63B7">
        <w:rPr>
          <w:color w:val="000000"/>
        </w:rPr>
        <w:t>response,</w:t>
      </w:r>
      <w:r>
        <w:rPr>
          <w:color w:val="000000"/>
        </w:rPr>
        <w:t xml:space="preserve"> recovery and healing.</w:t>
      </w:r>
    </w:p>
    <w:p w14:paraId="2CAB49F7" w14:textId="1E50E872" w:rsidR="00ED4B9D" w:rsidRDefault="00BB179C">
      <w:pPr>
        <w:rPr>
          <w:color w:val="000000"/>
        </w:rPr>
      </w:pPr>
      <w:r>
        <w:rPr>
          <w:color w:val="000000"/>
        </w:rPr>
        <w:t xml:space="preserve">Australia will make stronger progress when every part of the system takes responsibility for reducing structural barriers, when sexual violence remains visible, when children are </w:t>
      </w:r>
      <w:r w:rsidR="00BB63B7">
        <w:rPr>
          <w:color w:val="000000"/>
        </w:rPr>
        <w:t>recognised, when</w:t>
      </w:r>
      <w:r>
        <w:rPr>
          <w:color w:val="000000"/>
        </w:rPr>
        <w:t xml:space="preserve"> people using violence are held accountable, and when victim-survivors help govern the actions intended to support them.</w:t>
      </w:r>
    </w:p>
    <w:p w14:paraId="38434FAE" w14:textId="474F6C67" w:rsidR="00A900B3" w:rsidRPr="00A71241" w:rsidRDefault="00A71241">
      <w:pPr>
        <w:rPr>
          <w:b/>
          <w:bCs/>
          <w:color w:val="1F497D" w:themeColor="text2"/>
          <w:sz w:val="32"/>
          <w:szCs w:val="32"/>
        </w:rPr>
      </w:pPr>
      <w:r>
        <w:rPr>
          <w:b/>
          <w:bCs/>
          <w:color w:val="1F497D" w:themeColor="text2"/>
          <w:sz w:val="32"/>
          <w:szCs w:val="32"/>
        </w:rPr>
        <w:t xml:space="preserve">Further Information </w:t>
      </w:r>
    </w:p>
    <w:p w14:paraId="6F2801CE" w14:textId="1D440E1C" w:rsidR="00164F8D" w:rsidRPr="00164F8D" w:rsidRDefault="004738D5" w:rsidP="00164F8D">
      <w:pPr>
        <w:spacing w:after="0" w:line="360" w:lineRule="auto"/>
        <w:rPr>
          <w:rFonts w:ascii="Times New Roman" w:eastAsia="Times New Roman" w:hAnsi="Times New Roman" w:cs="Times New Roman"/>
          <w:sz w:val="24"/>
          <w:szCs w:val="24"/>
          <w:lang w:val="en-AU" w:eastAsia="en-AU"/>
        </w:rPr>
      </w:pPr>
      <w:r>
        <w:t xml:space="preserve">For questions or further information about this submission, please contact the </w:t>
      </w:r>
      <w:r w:rsidR="00074C24">
        <w:t>[redacted]</w:t>
      </w:r>
    </w:p>
    <w:p w14:paraId="57D1589C" w14:textId="6CDA1D8A" w:rsidR="00A71241" w:rsidRDefault="004738D5" w:rsidP="00164F8D">
      <w:pPr>
        <w:spacing w:line="360" w:lineRule="auto"/>
        <w:rPr>
          <w:color w:val="000000"/>
        </w:rPr>
      </w:pPr>
      <w:r>
        <w:t>IWSS welcomes the opportunity to provide further information or contribute to ongoing consultation regarding the Second Action Plan.</w:t>
      </w:r>
    </w:p>
    <w:p w14:paraId="01E535A3" w14:textId="77777777" w:rsidR="00A71241" w:rsidRDefault="00A71241">
      <w:pPr>
        <w:rPr>
          <w:color w:val="000000"/>
        </w:rPr>
      </w:pPr>
    </w:p>
    <w:p w14:paraId="0C427EC8" w14:textId="77777777" w:rsidR="00A900B3" w:rsidRDefault="00A900B3">
      <w:pPr>
        <w:rPr>
          <w:color w:val="000000"/>
        </w:rPr>
      </w:pPr>
    </w:p>
    <w:p w14:paraId="07C59A7E" w14:textId="77777777" w:rsidR="00A900B3" w:rsidRDefault="00A900B3"/>
    <w:p w14:paraId="42415588" w14:textId="77777777" w:rsidR="00ED4B9D" w:rsidRDefault="00BB179C">
      <w:pPr>
        <w:pStyle w:val="Heading1"/>
      </w:pPr>
      <w:r>
        <w:rPr>
          <w:rFonts w:ascii="Calibri" w:hAnsi="Calibri"/>
        </w:rPr>
        <w:t>References and materials considered</w:t>
      </w:r>
    </w:p>
    <w:p w14:paraId="5F7B2336" w14:textId="77777777" w:rsidR="00ED4B9D" w:rsidRDefault="00BB179C">
      <w:pPr>
        <w:pStyle w:val="ListBullet"/>
      </w:pPr>
      <w:r>
        <w:rPr>
          <w:color w:val="000000"/>
          <w:sz w:val="19"/>
        </w:rPr>
        <w:t>Australia’s National Research Organisation for Women’s Safety (ANROWS), Evidence to action: informing direction for the Second Action Plan, Consultation Paper, May 2026. https://engage.dss.gov.au/wp-content/uploads/2026/05/second-action-plan-consultation-paper.pdf</w:t>
      </w:r>
    </w:p>
    <w:p w14:paraId="1202C289" w14:textId="77777777" w:rsidR="00ED4B9D" w:rsidRDefault="00BB179C">
      <w:pPr>
        <w:pStyle w:val="ListBullet"/>
      </w:pPr>
      <w:r>
        <w:rPr>
          <w:color w:val="000000"/>
          <w:sz w:val="19"/>
        </w:rPr>
        <w:lastRenderedPageBreak/>
        <w:t>Australian Government Department of Social Services, National Plan to End Violence against Women and Children 2022–2032. https://www.dss.gov.au/national-plan-end-violence-against-women-and-children</w:t>
      </w:r>
    </w:p>
    <w:p w14:paraId="0EEDB52C" w14:textId="77777777" w:rsidR="00ED4B9D" w:rsidRDefault="00BB179C">
      <w:pPr>
        <w:pStyle w:val="ListBullet"/>
      </w:pPr>
      <w:r>
        <w:rPr>
          <w:color w:val="000000"/>
          <w:sz w:val="19"/>
        </w:rPr>
        <w:t>Australian Government Department of Social Services, National Outcomes Framework 2023–2032 and Performance Measurement Plan.</w:t>
      </w:r>
    </w:p>
    <w:p w14:paraId="504C23B0" w14:textId="77777777" w:rsidR="00ED4B9D" w:rsidRDefault="00BB179C">
      <w:pPr>
        <w:pStyle w:val="ListBullet"/>
      </w:pPr>
      <w:r>
        <w:rPr>
          <w:color w:val="000000"/>
          <w:sz w:val="19"/>
        </w:rPr>
        <w:t>ANROWS, National Risk Assessment Principles for domestic and family violence and companion resources. https://www.anrows.org.au/publication/national-risk-assessment-principles-for-domestic-and-family-violence/</w:t>
      </w:r>
    </w:p>
    <w:p w14:paraId="1401F473" w14:textId="77777777" w:rsidR="00ED4B9D" w:rsidRDefault="00BB179C">
      <w:pPr>
        <w:pStyle w:val="ListBullet"/>
      </w:pPr>
      <w:r>
        <w:rPr>
          <w:color w:val="000000"/>
          <w:sz w:val="19"/>
        </w:rPr>
        <w:t>ANROWS, Interventions for migrant and refugee men who use domestic, family and sexual violence: An integrative review of evidence, 2025. https://www.anrows.org.au/publication/dfsv-interventions-migrant-refugee-men/</w:t>
      </w:r>
    </w:p>
    <w:p w14:paraId="2A0BADA1" w14:textId="77777777" w:rsidR="00ED4B9D" w:rsidRDefault="00BB179C">
      <w:pPr>
        <w:pStyle w:val="ListBullet"/>
      </w:pPr>
      <w:r>
        <w:rPr>
          <w:color w:val="000000"/>
          <w:sz w:val="19"/>
        </w:rPr>
        <w:t>ANROWS, Promoting community-led responses to violence against immigrant and refugee women in metropolitan and regional Australia, the ASPIRE project. https://www.anrows.org.au/project/promoting-community-led-responses-to-violence-against-immigrant-and-refugee-women-in-metropolitan-and-regional-australia-the-aspire-project/</w:t>
      </w:r>
    </w:p>
    <w:p w14:paraId="1D10C8C4" w14:textId="77777777" w:rsidR="00ED4B9D" w:rsidRDefault="00BB179C">
      <w:pPr>
        <w:pStyle w:val="ListBullet"/>
      </w:pPr>
      <w:r>
        <w:rPr>
          <w:color w:val="000000"/>
          <w:sz w:val="19"/>
        </w:rPr>
        <w:t>eSafety Commissioner, Women from diverse backgrounds: research on technology-facilitated abuse. https://www.esafety.gov.au/research/women-from-diverse-backgrounds</w:t>
      </w:r>
    </w:p>
    <w:p w14:paraId="27F2C16D" w14:textId="77777777" w:rsidR="00ED4B9D" w:rsidRPr="00C06986" w:rsidRDefault="00BB179C">
      <w:pPr>
        <w:pStyle w:val="ListBullet"/>
        <w:rPr>
          <w:sz w:val="18"/>
          <w:szCs w:val="18"/>
        </w:rPr>
      </w:pPr>
      <w:r w:rsidRPr="00C06986">
        <w:rPr>
          <w:color w:val="000000"/>
          <w:sz w:val="18"/>
          <w:szCs w:val="18"/>
        </w:rPr>
        <w:t>National Advocacy Group on Women on Temporary Visas Experiencing Violence, Blueprint for Reform: Removing Barriers to Safety for Victims/Survivors of Domestic and Family Violence who are on Temporary Visas, updated 2022. https://www.harmonyalliance.org.au/wp-content/uploads/2023/12/Blueprint-for-reform-2022-v071222.pdf</w:t>
      </w:r>
    </w:p>
    <w:p w14:paraId="26F32B3F" w14:textId="77777777" w:rsidR="00384534" w:rsidRPr="00C06986" w:rsidRDefault="00EB0F66">
      <w:pPr>
        <w:pStyle w:val="ListBullet"/>
        <w:rPr>
          <w:sz w:val="18"/>
          <w:szCs w:val="18"/>
        </w:rPr>
      </w:pPr>
      <w:r w:rsidRPr="00C06986">
        <w:rPr>
          <w:color w:val="000000"/>
          <w:sz w:val="18"/>
          <w:szCs w:val="18"/>
        </w:rPr>
        <w:t>National Working Women’s Centres, Submission to the National Inquiry into Sexual Harassment in Australian Workplaces, 2019. https://humanrights.gov.au/sites/default/files/2019-07/submission_383_-_national_working_womens_centre.pdf</w:t>
      </w:r>
    </w:p>
    <w:p w14:paraId="59CECFA6" w14:textId="77777777" w:rsidR="00ED4B9D" w:rsidRDefault="00BB179C">
      <w:pPr>
        <w:pStyle w:val="ListBullet"/>
      </w:pPr>
      <w:r>
        <w:rPr>
          <w:color w:val="000000"/>
          <w:sz w:val="19"/>
        </w:rPr>
        <w:t>Our Watch, Change the story: A shared framework for the primary prevention of violence against women in Australia, second edition, 2021. https://www.ourwatch.org.au/change-the-story</w:t>
      </w:r>
    </w:p>
    <w:p w14:paraId="6E01033F" w14:textId="77777777" w:rsidR="00ED4B9D" w:rsidRDefault="00BB179C">
      <w:pPr>
        <w:pStyle w:val="ListBullet"/>
      </w:pPr>
      <w:r>
        <w:rPr>
          <w:color w:val="000000"/>
          <w:sz w:val="19"/>
        </w:rPr>
        <w:t>Queensland Domestic and Family Violence Alliance, Submission on the Second Action Plan, July 2026.</w:t>
      </w:r>
    </w:p>
    <w:p w14:paraId="37E66FF7" w14:textId="77777777" w:rsidR="00ED4B9D" w:rsidRDefault="00BB179C">
      <w:pPr>
        <w:pStyle w:val="ListBullet"/>
      </w:pPr>
      <w:r>
        <w:rPr>
          <w:color w:val="000000"/>
          <w:sz w:val="19"/>
        </w:rPr>
        <w:t>Queensland Sexual Assault Network, Submission on the Second Action Plan, July 2026.</w:t>
      </w:r>
    </w:p>
    <w:p w14:paraId="1E6215BF" w14:textId="77777777" w:rsidR="00ED4B9D" w:rsidRDefault="00BB179C">
      <w:pPr>
        <w:pStyle w:val="ListBullet"/>
      </w:pPr>
      <w:r>
        <w:rPr>
          <w:color w:val="000000"/>
          <w:sz w:val="19"/>
        </w:rPr>
        <w:t>Settlement Council of Australia and Australian Multicultural Women’s Alliance, Submission on the Second Action Plan, 2026.</w:t>
      </w:r>
    </w:p>
    <w:sectPr w:rsidR="00ED4B9D" w:rsidSect="00034616">
      <w:headerReference w:type="default" r:id="rId11"/>
      <w:footerReference w:type="default" r:id="rId12"/>
      <w:pgSz w:w="12240" w:h="15840"/>
      <w:pgMar w:top="1181" w:right="1296" w:bottom="1181" w:left="1296" w:header="605" w:footer="6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F3B4B" w14:textId="77777777" w:rsidR="00D85D17" w:rsidRDefault="00D85D17">
      <w:pPr>
        <w:spacing w:after="0" w:line="240" w:lineRule="auto"/>
      </w:pPr>
      <w:r>
        <w:separator/>
      </w:r>
    </w:p>
  </w:endnote>
  <w:endnote w:type="continuationSeparator" w:id="0">
    <w:p w14:paraId="3F52EAC2" w14:textId="77777777" w:rsidR="00D85D17" w:rsidRDefault="00D85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BCB1" w14:textId="685DDE42" w:rsidR="00ED4B9D" w:rsidRDefault="00EC44D1">
    <w:pPr>
      <w:pStyle w:val="Footer"/>
      <w:jc w:val="right"/>
    </w:pPr>
    <w:r>
      <w:rPr>
        <w:color w:val="5B6573"/>
        <w:sz w:val="17"/>
      </w:rPr>
      <w:t xml:space="preserve">IWSS Submission on the Second Action Plan | </w:t>
    </w:r>
    <w:r w:rsidR="00BB179C">
      <w:rPr>
        <w:color w:val="5B6573"/>
        <w:sz w:val="17"/>
      </w:rPr>
      <w:t>National Plan to End Violence against Women and Children 2022–2032</w:t>
    </w:r>
    <w:r w:rsidR="00BB179C">
      <w:t xml:space="preserve">  |  Page </w:t>
    </w:r>
    <w:r w:rsidR="00BB179C">
      <w:fldChar w:fldCharType="begin"/>
    </w:r>
    <w:r w:rsidR="00BB179C">
      <w:instrText>PAGE</w:instrText>
    </w:r>
    <w:r w:rsidR="00BB179C">
      <w:fldChar w:fldCharType="separate"/>
    </w:r>
    <w:r w:rsidR="00D61055">
      <w:rPr>
        <w:noProof/>
      </w:rPr>
      <w:t>1</w:t>
    </w:r>
    <w:r w:rsidR="00BB179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2AE9A" w14:textId="77777777" w:rsidR="00D85D17" w:rsidRDefault="00D85D17">
      <w:pPr>
        <w:spacing w:after="0" w:line="240" w:lineRule="auto"/>
      </w:pPr>
      <w:r>
        <w:separator/>
      </w:r>
    </w:p>
  </w:footnote>
  <w:footnote w:type="continuationSeparator" w:id="0">
    <w:p w14:paraId="12E49966" w14:textId="77777777" w:rsidR="00D85D17" w:rsidRDefault="00D85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1A4B9" w14:textId="130C29C5" w:rsidR="00ED4B9D" w:rsidRDefault="00D85D17" w:rsidP="00A900B3">
    <w:pPr>
      <w:pStyle w:val="Header"/>
      <w:jc w:val="center"/>
    </w:pPr>
    <w:sdt>
      <w:sdtPr>
        <w:rPr>
          <w:b/>
          <w:color w:val="5B6573"/>
          <w:sz w:val="17"/>
        </w:rPr>
        <w:id w:val="-1746954250"/>
        <w:docPartObj>
          <w:docPartGallery w:val="Watermarks"/>
          <w:docPartUnique/>
        </w:docPartObj>
      </w:sdtPr>
      <w:sdtEndPr/>
      <w:sdtContent/>
    </w:sdt>
    <w:r w:rsidR="00A900B3">
      <w:rPr>
        <w:noProof/>
      </w:rPr>
      <w:drawing>
        <wp:inline distT="0" distB="0" distL="0" distR="0" wp14:anchorId="54AB3797" wp14:editId="3106CCD0">
          <wp:extent cx="3542872" cy="1706880"/>
          <wp:effectExtent l="0" t="0" r="635" b="7620"/>
          <wp:docPr id="854753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53001" name="Picture 854753001"/>
                  <pic:cNvPicPr/>
                </pic:nvPicPr>
                <pic:blipFill>
                  <a:blip r:embed="rId1"/>
                  <a:stretch>
                    <a:fillRect/>
                  </a:stretch>
                </pic:blipFill>
                <pic:spPr>
                  <a:xfrm>
                    <a:off x="0" y="0"/>
                    <a:ext cx="3577689" cy="17236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BF7AB6"/>
    <w:multiLevelType w:val="hybridMultilevel"/>
    <w:tmpl w:val="FE744780"/>
    <w:lvl w:ilvl="0" w:tplc="02CCC13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96E35CD"/>
    <w:multiLevelType w:val="hybridMultilevel"/>
    <w:tmpl w:val="76121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0BA0478"/>
    <w:multiLevelType w:val="hybridMultilevel"/>
    <w:tmpl w:val="2A5ED062"/>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88885385">
    <w:abstractNumId w:val="8"/>
  </w:num>
  <w:num w:numId="2" w16cid:durableId="1438527699">
    <w:abstractNumId w:val="6"/>
  </w:num>
  <w:num w:numId="3" w16cid:durableId="1896428259">
    <w:abstractNumId w:val="5"/>
  </w:num>
  <w:num w:numId="4" w16cid:durableId="823088851">
    <w:abstractNumId w:val="4"/>
  </w:num>
  <w:num w:numId="5" w16cid:durableId="1360157148">
    <w:abstractNumId w:val="7"/>
  </w:num>
  <w:num w:numId="6" w16cid:durableId="841313973">
    <w:abstractNumId w:val="3"/>
  </w:num>
  <w:num w:numId="7" w16cid:durableId="1948462218">
    <w:abstractNumId w:val="2"/>
  </w:num>
  <w:num w:numId="8" w16cid:durableId="164441912">
    <w:abstractNumId w:val="1"/>
  </w:num>
  <w:num w:numId="9" w16cid:durableId="1380593920">
    <w:abstractNumId w:val="0"/>
  </w:num>
  <w:num w:numId="10" w16cid:durableId="517352867">
    <w:abstractNumId w:val="11"/>
  </w:num>
  <w:num w:numId="11" w16cid:durableId="688607802">
    <w:abstractNumId w:val="10"/>
  </w:num>
  <w:num w:numId="12" w16cid:durableId="6965442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447"/>
    <w:rsid w:val="00027A6F"/>
    <w:rsid w:val="00031C47"/>
    <w:rsid w:val="00034616"/>
    <w:rsid w:val="00050FBC"/>
    <w:rsid w:val="0006063C"/>
    <w:rsid w:val="00063DB4"/>
    <w:rsid w:val="00074C24"/>
    <w:rsid w:val="00081E86"/>
    <w:rsid w:val="00083DA3"/>
    <w:rsid w:val="000913F5"/>
    <w:rsid w:val="000A2DFA"/>
    <w:rsid w:val="000A5D2D"/>
    <w:rsid w:val="000A73E5"/>
    <w:rsid w:val="000B5EA4"/>
    <w:rsid w:val="000C20C4"/>
    <w:rsid w:val="000E1A5C"/>
    <w:rsid w:val="00103CE3"/>
    <w:rsid w:val="001464C7"/>
    <w:rsid w:val="00146DEA"/>
    <w:rsid w:val="0015074B"/>
    <w:rsid w:val="001533DE"/>
    <w:rsid w:val="00164F8D"/>
    <w:rsid w:val="0018768C"/>
    <w:rsid w:val="001959C7"/>
    <w:rsid w:val="001B1844"/>
    <w:rsid w:val="00227B09"/>
    <w:rsid w:val="00232591"/>
    <w:rsid w:val="0025747C"/>
    <w:rsid w:val="00264DA4"/>
    <w:rsid w:val="0029639D"/>
    <w:rsid w:val="00326F90"/>
    <w:rsid w:val="00342E20"/>
    <w:rsid w:val="003842DF"/>
    <w:rsid w:val="00384534"/>
    <w:rsid w:val="00385F95"/>
    <w:rsid w:val="003A587E"/>
    <w:rsid w:val="003C762B"/>
    <w:rsid w:val="00457136"/>
    <w:rsid w:val="004610E4"/>
    <w:rsid w:val="004738D5"/>
    <w:rsid w:val="00477FEA"/>
    <w:rsid w:val="004915B2"/>
    <w:rsid w:val="004A1858"/>
    <w:rsid w:val="004C69CB"/>
    <w:rsid w:val="004F128B"/>
    <w:rsid w:val="004F358E"/>
    <w:rsid w:val="00506E73"/>
    <w:rsid w:val="005262C4"/>
    <w:rsid w:val="0053715A"/>
    <w:rsid w:val="005875BB"/>
    <w:rsid w:val="00596709"/>
    <w:rsid w:val="005A25DE"/>
    <w:rsid w:val="005B1F5D"/>
    <w:rsid w:val="005D541A"/>
    <w:rsid w:val="005F7381"/>
    <w:rsid w:val="00601509"/>
    <w:rsid w:val="00605A11"/>
    <w:rsid w:val="006412BC"/>
    <w:rsid w:val="00670369"/>
    <w:rsid w:val="00690900"/>
    <w:rsid w:val="00690B4F"/>
    <w:rsid w:val="00697A1C"/>
    <w:rsid w:val="006C71B6"/>
    <w:rsid w:val="006D1DB2"/>
    <w:rsid w:val="0070087C"/>
    <w:rsid w:val="00700B09"/>
    <w:rsid w:val="00700E80"/>
    <w:rsid w:val="00704BD2"/>
    <w:rsid w:val="00780DF9"/>
    <w:rsid w:val="00786EBC"/>
    <w:rsid w:val="007C4CA8"/>
    <w:rsid w:val="007D1224"/>
    <w:rsid w:val="007D17FE"/>
    <w:rsid w:val="007F7BB8"/>
    <w:rsid w:val="0082405A"/>
    <w:rsid w:val="00830920"/>
    <w:rsid w:val="00836681"/>
    <w:rsid w:val="008425AA"/>
    <w:rsid w:val="00851836"/>
    <w:rsid w:val="0085727A"/>
    <w:rsid w:val="00866E2D"/>
    <w:rsid w:val="008A70E4"/>
    <w:rsid w:val="008C44FE"/>
    <w:rsid w:val="008D4E19"/>
    <w:rsid w:val="009048CC"/>
    <w:rsid w:val="009068EE"/>
    <w:rsid w:val="00911294"/>
    <w:rsid w:val="00942D1D"/>
    <w:rsid w:val="00972430"/>
    <w:rsid w:val="00974495"/>
    <w:rsid w:val="00975826"/>
    <w:rsid w:val="0098239C"/>
    <w:rsid w:val="009D194F"/>
    <w:rsid w:val="00A17FE6"/>
    <w:rsid w:val="00A30C48"/>
    <w:rsid w:val="00A56A3E"/>
    <w:rsid w:val="00A56AC1"/>
    <w:rsid w:val="00A577C2"/>
    <w:rsid w:val="00A643B6"/>
    <w:rsid w:val="00A71241"/>
    <w:rsid w:val="00A7429F"/>
    <w:rsid w:val="00A84BF2"/>
    <w:rsid w:val="00A900B3"/>
    <w:rsid w:val="00AA1D8D"/>
    <w:rsid w:val="00AA2CE7"/>
    <w:rsid w:val="00AB4D6D"/>
    <w:rsid w:val="00AB7647"/>
    <w:rsid w:val="00AE1E3E"/>
    <w:rsid w:val="00AE319C"/>
    <w:rsid w:val="00AF6EA2"/>
    <w:rsid w:val="00B01075"/>
    <w:rsid w:val="00B06EB5"/>
    <w:rsid w:val="00B125E2"/>
    <w:rsid w:val="00B47730"/>
    <w:rsid w:val="00BB179C"/>
    <w:rsid w:val="00BB63B7"/>
    <w:rsid w:val="00BC2A69"/>
    <w:rsid w:val="00BD2A09"/>
    <w:rsid w:val="00BE4511"/>
    <w:rsid w:val="00BE609F"/>
    <w:rsid w:val="00BE7024"/>
    <w:rsid w:val="00BF18C1"/>
    <w:rsid w:val="00BF5E72"/>
    <w:rsid w:val="00C01453"/>
    <w:rsid w:val="00C06986"/>
    <w:rsid w:val="00C11C74"/>
    <w:rsid w:val="00C253F9"/>
    <w:rsid w:val="00C90A58"/>
    <w:rsid w:val="00C970B2"/>
    <w:rsid w:val="00CB0664"/>
    <w:rsid w:val="00CB698A"/>
    <w:rsid w:val="00CD2891"/>
    <w:rsid w:val="00CD7353"/>
    <w:rsid w:val="00CE0542"/>
    <w:rsid w:val="00D23E60"/>
    <w:rsid w:val="00D37D4E"/>
    <w:rsid w:val="00D42F35"/>
    <w:rsid w:val="00D55F8A"/>
    <w:rsid w:val="00D61055"/>
    <w:rsid w:val="00D615E8"/>
    <w:rsid w:val="00D82FEB"/>
    <w:rsid w:val="00D85C61"/>
    <w:rsid w:val="00D85D17"/>
    <w:rsid w:val="00DA44CA"/>
    <w:rsid w:val="00DA5705"/>
    <w:rsid w:val="00DE2C95"/>
    <w:rsid w:val="00E3356D"/>
    <w:rsid w:val="00E337D1"/>
    <w:rsid w:val="00E351F1"/>
    <w:rsid w:val="00E37BFC"/>
    <w:rsid w:val="00E4342A"/>
    <w:rsid w:val="00E4516C"/>
    <w:rsid w:val="00E54C4B"/>
    <w:rsid w:val="00E55A56"/>
    <w:rsid w:val="00E65D4D"/>
    <w:rsid w:val="00E7611E"/>
    <w:rsid w:val="00EB0196"/>
    <w:rsid w:val="00EB0F66"/>
    <w:rsid w:val="00EB2AC4"/>
    <w:rsid w:val="00EC44D1"/>
    <w:rsid w:val="00ED4B9D"/>
    <w:rsid w:val="00EF6DCE"/>
    <w:rsid w:val="00F01451"/>
    <w:rsid w:val="00F0509C"/>
    <w:rsid w:val="00F30D85"/>
    <w:rsid w:val="00F51BBF"/>
    <w:rsid w:val="00F64B80"/>
    <w:rsid w:val="00F923F3"/>
    <w:rsid w:val="00FA61DF"/>
    <w:rsid w:val="00FC693F"/>
    <w:rsid w:val="00FD0A82"/>
    <w:rsid w:val="00FE0FDB"/>
    <w:rsid w:val="00FE2141"/>
    <w:rsid w:val="01F70EFF"/>
    <w:rsid w:val="0A8ACD28"/>
    <w:rsid w:val="0FE8B749"/>
    <w:rsid w:val="126AD0BE"/>
    <w:rsid w:val="12FB7F16"/>
    <w:rsid w:val="15DD3937"/>
    <w:rsid w:val="1683D629"/>
    <w:rsid w:val="174DF44F"/>
    <w:rsid w:val="18F92EC3"/>
    <w:rsid w:val="1B017340"/>
    <w:rsid w:val="1B5EA49B"/>
    <w:rsid w:val="1FDE4C05"/>
    <w:rsid w:val="205FE728"/>
    <w:rsid w:val="22CC116B"/>
    <w:rsid w:val="251F1512"/>
    <w:rsid w:val="26FD9901"/>
    <w:rsid w:val="29AD1E1C"/>
    <w:rsid w:val="2B050777"/>
    <w:rsid w:val="2B481E00"/>
    <w:rsid w:val="2E03B121"/>
    <w:rsid w:val="2E62B462"/>
    <w:rsid w:val="2EA132D5"/>
    <w:rsid w:val="2EEDD0DC"/>
    <w:rsid w:val="332428CE"/>
    <w:rsid w:val="36767015"/>
    <w:rsid w:val="398FEB65"/>
    <w:rsid w:val="3D010B39"/>
    <w:rsid w:val="41954C98"/>
    <w:rsid w:val="48C3A700"/>
    <w:rsid w:val="490283FE"/>
    <w:rsid w:val="4D98EC23"/>
    <w:rsid w:val="506F8AD9"/>
    <w:rsid w:val="50B5240A"/>
    <w:rsid w:val="529CBA1A"/>
    <w:rsid w:val="52F16023"/>
    <w:rsid w:val="558B85D6"/>
    <w:rsid w:val="57BE674C"/>
    <w:rsid w:val="5A7C2CB8"/>
    <w:rsid w:val="5B5A2DDA"/>
    <w:rsid w:val="5BBD75E9"/>
    <w:rsid w:val="5E8B23F6"/>
    <w:rsid w:val="656AEE89"/>
    <w:rsid w:val="69D39E8E"/>
    <w:rsid w:val="6B8E7AED"/>
    <w:rsid w:val="6C2E2CC9"/>
    <w:rsid w:val="6C53DCAF"/>
    <w:rsid w:val="6D73C55A"/>
    <w:rsid w:val="72400FA1"/>
    <w:rsid w:val="73CF8E66"/>
    <w:rsid w:val="75F97BBD"/>
    <w:rsid w:val="76D4FC0A"/>
    <w:rsid w:val="7849A582"/>
    <w:rsid w:val="7A2FA25D"/>
    <w:rsid w:val="7B6DC13D"/>
    <w:rsid w:val="7DE037A2"/>
    <w:rsid w:val="7DF5A3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26B960"/>
  <w14:defaultImageDpi w14:val="300"/>
  <w15:docId w15:val="{DAB1C70A-4AF2-47BA-822B-AAEB0E4DA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ind w:left="540" w:hanging="27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ind w:left="540" w:hanging="27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commendation">
    <w:name w:val="Recommendation"/>
    <w:basedOn w:val="Normal"/>
    <w:pPr>
      <w:keepNext/>
      <w:spacing w:before="140" w:after="60"/>
    </w:pPr>
    <w:rPr>
      <w:b/>
      <w:color w:val="17365D"/>
    </w:rPr>
  </w:style>
  <w:style w:type="paragraph" w:customStyle="1" w:styleId="CaseStudyBody">
    <w:name w:val="Case Study Body"/>
    <w:basedOn w:val="Normal"/>
    <w:pPr>
      <w:spacing w:before="40" w:after="100" w:line="283" w:lineRule="auto"/>
      <w:ind w:left="280" w:right="280"/>
    </w:pPr>
    <w:rPr>
      <w:color w:val="000000"/>
      <w:sz w:val="21"/>
    </w:rPr>
  </w:style>
  <w:style w:type="paragraph" w:customStyle="1" w:styleId="artifact-docx-previewcasestudybody">
    <w:name w:val="artifact-docx-preview_casestudybody"/>
    <w:basedOn w:val="Normal"/>
    <w:rsid w:val="00AF6EA2"/>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artifact-docx-previewrecommendation">
    <w:name w:val="artifact-docx-preview_recommendation"/>
    <w:basedOn w:val="Normal"/>
    <w:rsid w:val="00596709"/>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NormalWeb">
    <w:name w:val="Normal (Web)"/>
    <w:basedOn w:val="Normal"/>
    <w:uiPriority w:val="99"/>
    <w:unhideWhenUsed/>
    <w:rsid w:val="00596709"/>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dq2pgselectionanchorcontainer">
    <w:name w:val="pdq2pg_selectionanchorcontainer"/>
    <w:basedOn w:val="Normal"/>
    <w:rsid w:val="00601509"/>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Hyperlink">
    <w:name w:val="Hyperlink"/>
    <w:basedOn w:val="DefaultParagraphFont"/>
    <w:uiPriority w:val="99"/>
    <w:unhideWhenUsed/>
    <w:rsid w:val="004738D5"/>
    <w:rPr>
      <w:color w:val="0000FF" w:themeColor="hyperlink"/>
      <w:u w:val="single"/>
    </w:rPr>
  </w:style>
  <w:style w:type="character" w:styleId="UnresolvedMention">
    <w:name w:val="Unresolved Mention"/>
    <w:basedOn w:val="DefaultParagraphFont"/>
    <w:uiPriority w:val="99"/>
    <w:semiHidden/>
    <w:unhideWhenUsed/>
    <w:rsid w:val="004738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Folder" ma:contentTypeID="0x01200065608C9E079AB4479E33DE6BB8D407BB" ma:contentTypeVersion="0" ma:contentTypeDescription="Create a new folder." ma:contentTypeScope="" ma:versionID="b2bb91b58e7fc0dbf6aa17eb28551161">
  <xsd:schema xmlns:xsd="http://www.w3.org/2001/XMLSchema" xmlns:xs="http://www.w3.org/2001/XMLSchema" xmlns:p="http://schemas.microsoft.com/office/2006/metadata/properties" xmlns:ns1="http://schemas.microsoft.com/sharepoint/v3" targetNamespace="http://schemas.microsoft.com/office/2006/metadata/properties" ma:root="true" ma:fieldsID="3146688b276893de6bd461fc1311fe62" ns1:_="">
    <xsd:import namespace="http://schemas.microsoft.com/sharepoint/v3"/>
    <xsd:element name="properties">
      <xsd:complexType>
        <xsd:sequence>
          <xsd:element name="documentManagement">
            <xsd:complexType>
              <xsd:all>
                <xsd:element ref="ns1:ItemChildCount" minOccurs="0"/>
                <xsd:element ref="ns1:FolderChil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temChildCount" ma:index="3" nillable="true" ma:displayName="Item Child Count" ma:hidden="true" ma:list="Docs" ma:internalName="ItemChildCount" ma:readOnly="true" ma:showField="ItemChildCount">
      <xsd:simpleType>
        <xsd:restriction base="dms:Lookup"/>
      </xsd:simpleType>
    </xsd:element>
    <xsd:element name="FolderChildCount" ma:index="4" nillable="true" ma:displayName="Folder Child Count" ma:hidden="true" ma:list="Docs" ma:internalName="FolderChildCount" ma:readOnly="true" ma:showField="FolderChildCount">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ListForm</Display>
  <Edit>ListForm</Edit>
  <New>ListForm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9FF0EFD-6FB6-4652-850B-A7ADADEC8805}"/>
</file>

<file path=customXml/itemProps3.xml><?xml version="1.0" encoding="utf-8"?>
<ds:datastoreItem xmlns:ds="http://schemas.openxmlformats.org/officeDocument/2006/customXml" ds:itemID="{76360DFF-130A-46F9-9AD4-6E0DF619BB07}">
  <ds:schemaRefs>
    <ds:schemaRef ds:uri="http://schemas.microsoft.com/sharepoint/v3/contenttype/forms"/>
  </ds:schemaRefs>
</ds:datastoreItem>
</file>

<file path=customXml/itemProps4.xml><?xml version="1.0" encoding="utf-8"?>
<ds:datastoreItem xmlns:ds="http://schemas.openxmlformats.org/officeDocument/2006/customXml" ds:itemID="{C0A70F63-D097-4290-B699-2AA655818E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6283</Words>
  <Characters>35816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IWSS Submission to the Second Action Plan</vt:lpstr>
    </vt:vector>
  </TitlesOfParts>
  <Manager/>
  <Company/>
  <LinksUpToDate>false</LinksUpToDate>
  <CharactersWithSpaces>42015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IWSS Submission to the Second Action Plan</dc:title>
  <dc:subject>Clean submission version following Board review</dc:subject>
  <dc:creator>Immigrant Women’s Support Service</dc:creator>
  <cp:keywords/>
  <dc:description/>
  <cp:lastModifiedBy>BROOME, Lily</cp:lastModifiedBy>
  <cp:revision>3</cp:revision>
  <cp:lastPrinted>2026-07-28T02:02:00Z</cp:lastPrinted>
  <dcterms:created xsi:type="dcterms:W3CDTF">2026-09-02T04:53:00Z</dcterms:created>
  <dcterms:modified xsi:type="dcterms:W3CDTF">2026-09-02T04:54:00Z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0x01200065608C9E079AB4479E33DE6BB8D407BB</vt:lpwstr>
  </property>
</Properties>
</file>