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B4905" w14:textId="7E49AB74" w:rsidR="0023679E" w:rsidRDefault="00861D05">
      <w:pPr>
        <w:rPr>
          <w:b/>
          <w:bCs/>
        </w:rPr>
      </w:pPr>
      <w:r w:rsidRPr="00861D05">
        <w:rPr>
          <w:b/>
          <w:bCs/>
        </w:rPr>
        <w:t>Migrant Women's Emergency Service Inc, trading as Immigrant Women's Support Service (IWSS)</w:t>
      </w:r>
    </w:p>
    <w:p w14:paraId="15561ADB" w14:textId="049E994C" w:rsidR="00861D05" w:rsidRDefault="00861D05">
      <w:pPr>
        <w:rPr>
          <w:b/>
          <w:bCs/>
        </w:rPr>
      </w:pPr>
      <w:r w:rsidRPr="00861D05">
        <w:rPr>
          <w:b/>
          <w:bCs/>
        </w:rPr>
        <w:t>Feedback for Priority Area 1: Victim-survivors</w:t>
      </w:r>
    </w:p>
    <w:p w14:paraId="1D6D8728" w14:textId="27BC1927" w:rsidR="00861D05" w:rsidRDefault="00861D05" w:rsidP="00861D05">
      <w:r>
        <w:t>Recognise migration-related and transnational forms of abuse</w:t>
      </w:r>
    </w:p>
    <w:p w14:paraId="0DE6D450" w14:textId="77777777" w:rsidR="00861D05" w:rsidRDefault="00861D05" w:rsidP="00861D05">
      <w:r>
        <w:t>For many women, children and young people supported by IWSS, identity, community and belonging are central to their lives. People using violence can exploit these connections by threatening deportation, withdrawing sponsorship, withholding passports and identity documents, controlling immigration accounts, providing false information about Australian law, preventing English-language learning, obstructing work or study, and threatening separation from children or relatives overseas. Visa categories with limited family violence protections can leave victim-survivors choosing between continued abuse, destitution and loss of lawful status.</w:t>
      </w:r>
    </w:p>
    <w:p w14:paraId="6B6BBF2D" w14:textId="77777777" w:rsidR="00861D05" w:rsidRDefault="00861D05" w:rsidP="00861D05">
      <w:r>
        <w:t>Abuse can continue across borders through digital surveillance, financial control, threats to relatives or extended family, disputes over overseas property or dowry, forced travel, withholding and threatening of children, and the use of family or community networks to locate and monitor a victim-survivor. Risk assessment and safety planning must extend beyond the co-resident intimate partner model and consider multiple people, jurisdictions, digital platforms and immigration consequences.</w:t>
      </w:r>
    </w:p>
    <w:p w14:paraId="41B3EBB3" w14:textId="761DB878" w:rsidR="00861D05" w:rsidRDefault="00861D05" w:rsidP="00861D05">
      <w:r>
        <w:t>Forcibly displaced women, children and young people including refugees and people seeking asylum, may carry experiences of conflict-related sexual violence, persecution, family separation and prolonged insecurity. IWSS’s practice experience shows that these histories can affect trust, disclosure and engagement with police, courts and government agencies. They should inform trauma and violence-informed responses without defining a person solely through past trauma. The Second Action Plan should recognise conflict-related and migration-related gender-based violence and ensure that settlement, health and specialist services have pathways to respond.</w:t>
      </w:r>
    </w:p>
    <w:p w14:paraId="2E660F17" w14:textId="77777777" w:rsidR="00861D05" w:rsidRDefault="00861D05" w:rsidP="00861D05">
      <w:r>
        <w:t>Guarantee safety regardless of visa status</w:t>
      </w:r>
    </w:p>
    <w:p w14:paraId="512C8D7A" w14:textId="6D3AC27C" w:rsidR="00861D05" w:rsidRDefault="00861D05" w:rsidP="00861D05">
      <w:r>
        <w:t>Create nationally consistent access to crisis payments, income support, Medicare, housing, legal assistance, interpreting, counselling and recovery supports for victim-survivors and their dependents, regardless of visa category. Expand family violence protections across visa pathways and establish safe, timely immigration advice and review mechanisms.</w:t>
      </w:r>
    </w:p>
    <w:p w14:paraId="353C5FA8" w14:textId="77777777" w:rsidR="00861D05" w:rsidRDefault="00861D05" w:rsidP="00861D05">
      <w:r>
        <w:t>Adopt migration-informed risk and safety practice</w:t>
      </w:r>
    </w:p>
    <w:p w14:paraId="15153F9F" w14:textId="77777777" w:rsidR="00861D05" w:rsidRDefault="00861D05" w:rsidP="00861D05">
      <w:r>
        <w:t>Update national risk principles, training and service standards to address visa-related coercive control, transnational and multi-perpetrator abuse, forced marriage, including child and early marriage, dowry abuse, exit trafficking, technology-facilitated abuse, modern slavery, document and account control, and threats made across borders.</w:t>
      </w:r>
    </w:p>
    <w:p w14:paraId="5C40D791" w14:textId="070CE762" w:rsidR="00861D05" w:rsidRDefault="00861D05" w:rsidP="00861D05">
      <w:r>
        <w:lastRenderedPageBreak/>
        <w:t>Language access is a safety obligation</w:t>
      </w:r>
    </w:p>
    <w:p w14:paraId="3E9AB450" w14:textId="77777777" w:rsidR="00861D05" w:rsidRDefault="00861D05" w:rsidP="00861D05">
      <w:r>
        <w:t>A service is not accessible if a victim-survivor cannot understand their rights, choices, risks or obligations. Language access must be a core service cost, not treated as discretionary brokerage.</w:t>
      </w:r>
    </w:p>
    <w:p w14:paraId="50042459" w14:textId="77777777" w:rsidR="00861D05" w:rsidRDefault="00861D05" w:rsidP="00861D05">
      <w:r>
        <w:t>Children, relatives, community members and the person using violence must never be relied on to interpret. Qualified interpreters need domestic and family violence and sexual violence language capability, clear confidentiality obligations and conflict checks. Victim-survivors should be offered choice about interpreter gender, dialect and location where possible. Services also need safe procedures for small language communities where anonymity is difficult.</w:t>
      </w:r>
    </w:p>
    <w:p w14:paraId="1531D629" w14:textId="64CE348B" w:rsidR="00861D05" w:rsidRDefault="00861D05" w:rsidP="00861D05">
      <w:r>
        <w:t>Written information should be translated, accessible and available through channels controlled by the victim-survivor. Digital delivery is not safe when a device, email account or government portal is monitored. Government commissioning and funding agreements should include measurable language-access requirements, monitoring and reporting so safe communication is embedded in service delivery.</w:t>
      </w:r>
    </w:p>
    <w:p w14:paraId="33F18D15" w14:textId="77777777" w:rsidR="00861D05" w:rsidRDefault="00861D05" w:rsidP="00861D05">
      <w:r>
        <w:t>Housing, income and recovery are part of safety</w:t>
      </w:r>
    </w:p>
    <w:p w14:paraId="54BE1C38" w14:textId="77777777" w:rsidR="00861D05" w:rsidRDefault="00861D05" w:rsidP="00861D05">
      <w:r>
        <w:t>For many women and children, leaving violence can result in homelessness, destitution, loss of health care or immigration uncertainty. Safe and affordable housing, income, transport, legal assistance, employment support and flexible brokerage are prevention, response and recovery infrastructure.</w:t>
      </w:r>
    </w:p>
    <w:p w14:paraId="62B58A50" w14:textId="2A3F989B" w:rsidR="00861D05" w:rsidRDefault="00861D05" w:rsidP="00861D05">
      <w:r>
        <w:t>Eligibility rules often exclude temporary visa holders and fail to account for missing identity documents, unsafe joint accounts, disrupted employment, limited rental history, visa-linked work restrictions or the time required to resolve intersecting legal matters. Recovery supports should follow need rather than visa category or continued engagement with a crisis service.</w:t>
      </w:r>
    </w:p>
    <w:p w14:paraId="6987F980" w14:textId="77777777" w:rsidR="00861D05" w:rsidRDefault="00861D05" w:rsidP="00861D05">
      <w:r>
        <w:t>Ensure equitable access to recovery supports</w:t>
      </w:r>
    </w:p>
    <w:p w14:paraId="3DE5D45F" w14:textId="134C11AB" w:rsidR="00861D05" w:rsidRDefault="00861D05" w:rsidP="00861D05">
      <w:r>
        <w:t xml:space="preserve">Commonwealth and intergovernmental eligibility rules should support timely access to safe housing, income, health care, education, employment pathways, </w:t>
      </w:r>
      <w:proofErr w:type="gramStart"/>
      <w:r>
        <w:t>child care</w:t>
      </w:r>
      <w:proofErr w:type="gramEnd"/>
      <w:r>
        <w:t xml:space="preserve"> and legal assistance. Flexible brokerage and specialist navigation are needed where victim-survivors face intersecting legal, migration and service-system barriers.</w:t>
      </w:r>
    </w:p>
    <w:p w14:paraId="351111BC" w14:textId="77777777" w:rsidR="00861D05" w:rsidRDefault="00861D05" w:rsidP="00861D05">
      <w:r>
        <w:t>Prevent systems from becoming tools of abuse</w:t>
      </w:r>
    </w:p>
    <w:p w14:paraId="023B1E1E" w14:textId="50DEED8D" w:rsidR="00861D05" w:rsidRDefault="00861D05" w:rsidP="00861D05">
      <w:r>
        <w:t>IWSS sees people using violence extend control through family law, child protection, child support, policing, migration processes and other administrative systems. Tactics include vexatious applications, repeated reports, manipulation of records, non-compliance with orders and allegations that exploit racism or stereotypes about migrant mothers.</w:t>
      </w:r>
    </w:p>
    <w:p w14:paraId="42EA087C" w14:textId="7F509130" w:rsidR="00861D05" w:rsidRDefault="00861D05" w:rsidP="00861D05">
      <w:r>
        <w:lastRenderedPageBreak/>
        <w:t xml:space="preserve">Women with limited English, insecure visas or previous experiences of state violence face a heightened risk of being misidentified, disbelieved or treated as non-compliant. A lack of shared understanding across systems can require women to repeat traumatic accounts while no agency holds responsibility for coordinated safety.  </w:t>
      </w:r>
    </w:p>
    <w:p w14:paraId="27544EDF" w14:textId="77777777" w:rsidR="00861D05" w:rsidRDefault="00861D05" w:rsidP="00861D05">
      <w:r>
        <w:t>Case study: Thuy, migration processes and systems abuse</w:t>
      </w:r>
    </w:p>
    <w:p w14:paraId="686281F9" w14:textId="77777777" w:rsidR="00861D05" w:rsidRDefault="00861D05" w:rsidP="00861D05">
      <w:r>
        <w:t>Thuy held a temporary partner visa when she fled violence by her partner and his family. She was living in a refuge and receiving specialist support when her former partner made allegations about her to the Department of Home Affairs.</w:t>
      </w:r>
    </w:p>
    <w:p w14:paraId="262119CE" w14:textId="77777777" w:rsidR="00861D05" w:rsidRDefault="00861D05" w:rsidP="00861D05">
      <w:r>
        <w:t xml:space="preserve">Home Affairs issued a notice indicating that her visa could be refused. Responding required Thuy to revisit the abuse and defend her credibility within a complex migration process. The published account records that this caused panic attacks, anxiety and </w:t>
      </w:r>
      <w:proofErr w:type="spellStart"/>
      <w:r>
        <w:t>retraumatisation</w:t>
      </w:r>
      <w:proofErr w:type="spellEnd"/>
      <w:r>
        <w:t xml:space="preserve"> while she was trying to establish safety.</w:t>
      </w:r>
    </w:p>
    <w:p w14:paraId="7BCA8E89" w14:textId="0CA70AA8" w:rsidR="00861D05" w:rsidRDefault="00861D05" w:rsidP="00861D05">
      <w:r>
        <w:t xml:space="preserve">Thuy’s experience illustrates how administrative systems can become another site of post-separation control. Agencies should assess allegations within the full history and pattern of violence, provide procedural fairness and avoid placing the burden of disproving a perpetrator’s account on the victim-survivor.     Thuy is the pseudonym. </w:t>
      </w:r>
    </w:p>
    <w:p w14:paraId="1FEAA3F7" w14:textId="6D5262D9" w:rsidR="00861D05" w:rsidRDefault="00861D05" w:rsidP="00861D05">
      <w:r>
        <w:t>Address systems abuse and misidentification</w:t>
      </w:r>
    </w:p>
    <w:p w14:paraId="65BE0DC4" w14:textId="44C24EB6" w:rsidR="00861D05" w:rsidRDefault="00861D05" w:rsidP="00861D05">
      <w:r>
        <w:t>Introduce national practice guidance, review and accountability mechanisms for systems abuse, predominant aggressor identification and cross-system risk. Provide specialist cultural and disability liaison functions, qualified interpreters, legal representation and safe complaint pathways.</w:t>
      </w:r>
    </w:p>
    <w:p w14:paraId="237BE601" w14:textId="09CB0197" w:rsidR="00861D05" w:rsidRDefault="00861D05" w:rsidP="00861D05">
      <w:pPr>
        <w:rPr>
          <w:b/>
          <w:bCs/>
        </w:rPr>
      </w:pPr>
      <w:r w:rsidRPr="00861D05">
        <w:rPr>
          <w:b/>
          <w:bCs/>
        </w:rPr>
        <w:t>Feedback for Priority Area 2: Prevention and early intervention</w:t>
      </w:r>
    </w:p>
    <w:p w14:paraId="05D4E38F" w14:textId="5F789E86" w:rsidR="00861D05" w:rsidRDefault="00861D05" w:rsidP="00861D05">
      <w:r>
        <w:t>Fund community-led prevention as long-term infrastructure</w:t>
      </w:r>
    </w:p>
    <w:p w14:paraId="26E0DFD8" w14:textId="66261ECD" w:rsidR="00861D05" w:rsidRDefault="00861D05" w:rsidP="00861D05">
      <w:r>
        <w:t>Community leadership strengthens relevance, trust and reach. However, consultation without decision-making power or sustained resources shifts work and risk onto communities. The Second Action Plan should fund communities to design, deliver and evaluate prevention over time, with specialist gendered violence expertise built into governance and safety.</w:t>
      </w:r>
    </w:p>
    <w:p w14:paraId="1BF836E4" w14:textId="77777777" w:rsidR="00861D05" w:rsidRDefault="00861D05" w:rsidP="00861D05">
      <w:r>
        <w:t>Community connection requires a safety lens</w:t>
      </w:r>
    </w:p>
    <w:p w14:paraId="703B0959" w14:textId="1456EF46" w:rsidR="00861D05" w:rsidRDefault="00861D05" w:rsidP="00861D05">
      <w:r>
        <w:t>Community can support belonging, healing and recovery. It can also be a setting where a victim-survivor encounters the person using violence, experiences pressure to reconcile, fears loss of social connection, or is monitored through shared networks. Prevention and response models must preserve choice, confidentiality and access to support outside a person’s immediate community. No victim-survivor should be required to seek safety through a community structure connected to the harm.</w:t>
      </w:r>
    </w:p>
    <w:p w14:paraId="4827E07F" w14:textId="50C0ED28" w:rsidR="00861D05" w:rsidRDefault="00861D05" w:rsidP="00861D05">
      <w:r>
        <w:lastRenderedPageBreak/>
        <w:t xml:space="preserve">Culturally responsive prevention should not present violence as a problem located within cultures. It should address the gendered drivers of violence, strengthen women’s leadership, support legal and digital literacy, build bystander capability, and respond to migration and settlement contexts without </w:t>
      </w:r>
      <w:proofErr w:type="spellStart"/>
      <w:r>
        <w:t>racialising</w:t>
      </w:r>
      <w:proofErr w:type="spellEnd"/>
      <w:r>
        <w:t xml:space="preserve"> communities.</w:t>
      </w:r>
    </w:p>
    <w:p w14:paraId="3CDC5588" w14:textId="77777777" w:rsidR="00861D05" w:rsidRDefault="00861D05" w:rsidP="00861D05">
      <w:r>
        <w:t>Practice case study: Engaging with community</w:t>
      </w:r>
    </w:p>
    <w:p w14:paraId="6BCA23BC" w14:textId="77777777" w:rsidR="00861D05" w:rsidRDefault="00861D05" w:rsidP="00861D05">
      <w:r>
        <w:t>IWSS worked with a community women’s group to shape engagement around the priorities identified by participants. The approach began with listening and relationship building rather than a predetermined education package. Bicultural workers supported communication, clarified IWSS’s support services and created safer opportunities for women, children and young people to ask questions about rights, respectful relationships, domestic and family violence, sexual violence and service access.</w:t>
      </w:r>
    </w:p>
    <w:p w14:paraId="44C9E1A0" w14:textId="77777777" w:rsidR="00861D05" w:rsidRDefault="00861D05" w:rsidP="00861D05">
      <w:r>
        <w:t>The partnership connected prevention with practical referral pathways. Women received information in a culturally and linguistically accessible way and knew how to seek confidential specialist assistance outside the group if needed. Participation in community activities was not treated as disclosure, and women retained control over whether and how they engaged with services.</w:t>
      </w:r>
    </w:p>
    <w:p w14:paraId="5CF314D9" w14:textId="7125C344" w:rsidR="00861D05" w:rsidRDefault="00861D05" w:rsidP="00861D05">
      <w:r>
        <w:t>This practice example shows the value of sustained community partnerships. Trust improves the reach of prevention information, but safety requires confidentiality, specialist oversight and options beyond the immediate community. Community organisations should be funded as partners in design and delivery, while specialist services remain responsible for risk assessment, response and recovery support.</w:t>
      </w:r>
    </w:p>
    <w:p w14:paraId="7473ABCF" w14:textId="77777777" w:rsidR="00861D05" w:rsidRDefault="00861D05" w:rsidP="00861D05">
      <w:r>
        <w:t>Make economic security a prevention and recovery outcome</w:t>
      </w:r>
    </w:p>
    <w:p w14:paraId="6B9AB894" w14:textId="2A67F4C4" w:rsidR="00861D05" w:rsidRDefault="00861D05" w:rsidP="00861D05">
      <w:r>
        <w:t xml:space="preserve">Link the Second Action Plan to employment rights, skills recognition, secure work, financial capability, </w:t>
      </w:r>
      <w:proofErr w:type="gramStart"/>
      <w:r>
        <w:t>child care</w:t>
      </w:r>
      <w:proofErr w:type="gramEnd"/>
      <w:r>
        <w:t xml:space="preserve"> and social enterprise initiatives. Measure whether women gain safe control of income, work and financial decisions. </w:t>
      </w:r>
    </w:p>
    <w:p w14:paraId="29A801B3" w14:textId="77777777" w:rsidR="00861D05" w:rsidRDefault="00861D05" w:rsidP="00861D05">
      <w:r>
        <w:t>Case study: Inakshi, visa uncertainty and economic recovery</w:t>
      </w:r>
    </w:p>
    <w:p w14:paraId="2D55F44A" w14:textId="77777777" w:rsidR="00861D05" w:rsidRDefault="00861D05" w:rsidP="00861D05">
      <w:r>
        <w:t xml:space="preserve">Inakshi arrived in Australia on a visitor visa following her husband’s advice. She was confined to a room in shared accommodation, prevented from contacting others and subjected to family violence. She obtained a protection order, but by the time she received migration </w:t>
      </w:r>
      <w:proofErr w:type="spellStart"/>
      <w:r>
        <w:t>advice her</w:t>
      </w:r>
      <w:proofErr w:type="spellEnd"/>
      <w:r>
        <w:t xml:space="preserve"> visitor visa had expired.</w:t>
      </w:r>
    </w:p>
    <w:p w14:paraId="171611AC" w14:textId="123C3272" w:rsidR="00861D05" w:rsidRDefault="00861D05" w:rsidP="00861D05">
      <w:r>
        <w:t>While waiting for an outcome on a protection visa application, Inakshi held a bridging visa and experienced prolonged uncertainty. Despite having information technology qualifications, she worked as a cleaner. Employers were reluctant to engage her because her visa appeared temporary, and the loss of professional identity, isolation and uncertainty affected her wellbeing.</w:t>
      </w:r>
    </w:p>
    <w:p w14:paraId="44B0A28A" w14:textId="77777777" w:rsidR="00861D05" w:rsidRDefault="00861D05" w:rsidP="00861D05">
      <w:r>
        <w:lastRenderedPageBreak/>
        <w:t>Inakshi’s experience shows that recovery depends on more than immediate physical safety. Secure migration status, recognition of qualifications, appropriate employment, income and connection are integral to rebuilding autonomy. Economic participation programs must account for visa barriers and the effects of violence.</w:t>
      </w:r>
    </w:p>
    <w:p w14:paraId="036E3F39" w14:textId="251ADA7A" w:rsidR="00861D05" w:rsidRDefault="00861D05" w:rsidP="00861D05">
      <w:r>
        <w:t>Inakshi is a pseudonym.</w:t>
      </w:r>
    </w:p>
    <w:p w14:paraId="403507ED" w14:textId="5101C8DB" w:rsidR="00861D05" w:rsidRDefault="00861D05" w:rsidP="00861D05">
      <w:pPr>
        <w:rPr>
          <w:b/>
          <w:bCs/>
        </w:rPr>
      </w:pPr>
      <w:r w:rsidRPr="00861D05">
        <w:rPr>
          <w:b/>
          <w:bCs/>
        </w:rPr>
        <w:t>Feedback for Priority Area 3: Children and young people in their own right</w:t>
      </w:r>
    </w:p>
    <w:p w14:paraId="5B1ED44E" w14:textId="029C293A" w:rsidR="00861D05" w:rsidRDefault="00861D05" w:rsidP="00861D05">
      <w:r>
        <w:t>Children and young people experience domestic and family violence and sexual violence as victim-survivors. They require independent, age-appropriate, developmentally informed and culturally responsive assessment and support. Responses should also recognise the current and longer-term barriers faced by the protective parent, most often the mother, without making the child’s access to support dependent on the parent’s eligibility.</w:t>
      </w:r>
    </w:p>
    <w:p w14:paraId="48C399CA" w14:textId="77777777" w:rsidR="00861D05" w:rsidRDefault="00861D05" w:rsidP="00861D05">
      <w:r>
        <w:t>Children from migrant and refugee and asylum-seeking backgrounds may also navigate family separation, disrupted schooling, settlement stress, racism, disability, intergenerational trauma and experience uncertainty with visa status. Some act as language brokers or digital intermediaries for adults. This places children in unsafe roles, exposes them to information they should not carry, can blur parent and child roles and can affect family relationships and how services understand family dynamics.</w:t>
      </w:r>
    </w:p>
    <w:p w14:paraId="12EFB1FA" w14:textId="77777777" w:rsidR="00861D05" w:rsidRDefault="00861D05" w:rsidP="00861D05">
      <w:r>
        <w:t xml:space="preserve">Children must have safe access to interpreters and confidential information. Their views should be heard without requiring them to translate, mediate or choose between family and safety. Responses should avoid </w:t>
      </w:r>
      <w:proofErr w:type="spellStart"/>
      <w:r>
        <w:t>pathologising</w:t>
      </w:r>
      <w:proofErr w:type="spellEnd"/>
      <w:r>
        <w:t xml:space="preserve"> cultural difference and should distinguish intergenerational negotiation from coercion and violence.</w:t>
      </w:r>
    </w:p>
    <w:p w14:paraId="108B8443" w14:textId="77777777" w:rsidR="00861D05" w:rsidRDefault="00861D05" w:rsidP="00861D05">
      <w:r>
        <w:t>Young people using violence in the home or in intimate relationships need developmentally appropriate intervention that centres the safety of victim-survivors. Programs should respond to trauma, disability, harmful sexual behaviours, technology use and migration experiences while maintaining accountability.</w:t>
      </w:r>
    </w:p>
    <w:p w14:paraId="4DB1E2A1" w14:textId="2EE78313" w:rsidR="00861D05" w:rsidRDefault="00861D05" w:rsidP="00861D05">
      <w:r>
        <w:t>Children who are victim-survivors need to be assessed independently with a sensitive framework of trauma-informed, cultural lens and respectful understanding of the current and long-term vulnerabilities of a parent, normally the mother, who is the significant protective parent.</w:t>
      </w:r>
    </w:p>
    <w:p w14:paraId="3C50232A" w14:textId="77777777" w:rsidR="00861D05" w:rsidRDefault="00861D05" w:rsidP="00861D05">
      <w:r>
        <w:t>Fund independent, culturally responsive child and youth responses</w:t>
      </w:r>
    </w:p>
    <w:p w14:paraId="68D86D2D" w14:textId="51D9E308" w:rsidR="00861D05" w:rsidRDefault="00861D05" w:rsidP="00861D05">
      <w:r>
        <w:t>Expand specialist counselling, therapeutic recovery, advocacy and case coordination for children of all ages. Fund prevention of harmful sexual behaviours and adolescent violence that are developmentally appropriate, family-aware and linked to victim-survivor safety.</w:t>
      </w:r>
    </w:p>
    <w:p w14:paraId="51E14963" w14:textId="77777777" w:rsidR="00861D05" w:rsidRDefault="00861D05" w:rsidP="00861D05">
      <w:r>
        <w:t>Centre children’s voices and rights across systems</w:t>
      </w:r>
    </w:p>
    <w:p w14:paraId="67F1E165" w14:textId="269C363F" w:rsidR="00861D05" w:rsidRDefault="00861D05" w:rsidP="00861D05">
      <w:r>
        <w:lastRenderedPageBreak/>
        <w:t>Require child-safe participation, independent interpreting, culturally responsive assessment and coordinated support across family law, child protection, education, health, migration and specialist services. Prohibit, as a mandatory guideline reliance at any stage on children as interpreters.</w:t>
      </w:r>
    </w:p>
    <w:p w14:paraId="0C5E3483" w14:textId="3EBE01B0" w:rsidR="00861D05" w:rsidRDefault="00861D05" w:rsidP="00861D05">
      <w:pPr>
        <w:rPr>
          <w:b/>
          <w:bCs/>
        </w:rPr>
      </w:pPr>
      <w:r w:rsidRPr="00861D05">
        <w:rPr>
          <w:b/>
          <w:bCs/>
        </w:rPr>
        <w:t>Feedback for Priority Area 4: People who use violence</w:t>
      </w:r>
    </w:p>
    <w:p w14:paraId="3E86E411" w14:textId="4DB64F2A" w:rsidR="00861D05" w:rsidRDefault="00861D05" w:rsidP="00861D05">
      <w:r>
        <w:t>The responsibility for violence rests with the person using it. Migration stress, racism, unemployment, trauma, harmful substance use or gambling can shape context and service needs, but they do not excuse violence. Programs must retain a gendered analysis, monitor risk and place the safety of women and children at the centre.</w:t>
      </w:r>
    </w:p>
    <w:p w14:paraId="57E841A8" w14:textId="77777777" w:rsidR="00861D05" w:rsidRDefault="00861D05" w:rsidP="00861D05">
      <w:r>
        <w:t>Mainstream behaviour change programs may be inaccessible where language, literacy, visa status, transport, work arrangements or cultural relevance are not addressed. Simple translation of an existing program is insufficient when cultural context is a critical consideration. Effective responses require community co-design, skilled facilitators, links with specialist women’s services, ongoing risk assessment and evaluation of outcomes for victim-survivors.</w:t>
      </w:r>
    </w:p>
    <w:p w14:paraId="1B093EDD" w14:textId="6D96CFFF" w:rsidR="00861D05" w:rsidRDefault="00861D05" w:rsidP="00861D05">
      <w:r>
        <w:t>Community leaders and organisations have a role in prevention and early identification but should not hold sole responsibility for risk management or perpetrator intervention. Programs need clear boundaries, specialist oversight and pathways into justice, health, alcohol and other drug, mental health and housing services.</w:t>
      </w:r>
    </w:p>
    <w:p w14:paraId="4CBD725C" w14:textId="77777777" w:rsidR="00861D05" w:rsidRDefault="00861D05" w:rsidP="00861D05">
      <w:r>
        <w:t>Invest in culturally grounded, accountability-focused interventions</w:t>
      </w:r>
    </w:p>
    <w:p w14:paraId="156B432B" w14:textId="4F1B83A9" w:rsidR="00861D05" w:rsidRDefault="00861D05" w:rsidP="00861D05">
      <w:r>
        <w:t>Develop and evaluate interventions for migrant and refugee men and young people who use violence, including early intervention and sexual violence perpetration programs. Fund partner support, independent risk monitoring, qualified interpreters and specialist women’s service involvement.</w:t>
      </w:r>
    </w:p>
    <w:p w14:paraId="4EFC8264" w14:textId="77777777" w:rsidR="00861D05" w:rsidRDefault="00861D05" w:rsidP="00861D05">
      <w:r>
        <w:t>Build accountability across systems</w:t>
      </w:r>
    </w:p>
    <w:p w14:paraId="04723053" w14:textId="5BC9284A" w:rsidR="00861D05" w:rsidRDefault="00861D05" w:rsidP="00861D05">
      <w:r>
        <w:t>Require police, courts, corrections, health, child protection, migration and community programs to share responsibility for identifying patterns, managing risk and preventing systems abuse. Measure changes in behaviour and safety outcomes, not program attendance alone.</w:t>
      </w:r>
    </w:p>
    <w:p w14:paraId="150853BE" w14:textId="46CA591B" w:rsidR="00861D05" w:rsidRDefault="00861D05" w:rsidP="00861D05">
      <w:r>
        <w:t>System responses and community attitudes can cause serious harm when a victim-survivor is misidentified as the person using violence. Misidentification can affect protection orders, parenting matters, housing, immigration, child protection and access to specialist support. Risk assessment should examine the history, pattern, intent and impact of behaviour, including coercive control, self-defence, language barriers and the influence of the person using violence on professional accounts.</w:t>
      </w:r>
    </w:p>
    <w:p w14:paraId="5AF4F04C" w14:textId="77777777" w:rsidR="00861D05" w:rsidRDefault="00861D05" w:rsidP="00861D05">
      <w:pPr>
        <w:rPr>
          <w:b/>
          <w:bCs/>
        </w:rPr>
      </w:pPr>
    </w:p>
    <w:p w14:paraId="56B2007A" w14:textId="2E9D132A" w:rsidR="00861D05" w:rsidRDefault="00861D05" w:rsidP="00861D05">
      <w:pPr>
        <w:rPr>
          <w:b/>
          <w:bCs/>
        </w:rPr>
      </w:pPr>
      <w:r w:rsidRPr="00861D05">
        <w:rPr>
          <w:b/>
          <w:bCs/>
        </w:rPr>
        <w:lastRenderedPageBreak/>
        <w:t>Feedback for Priority Area 5: System Integration and Workforce</w:t>
      </w:r>
    </w:p>
    <w:p w14:paraId="3F6359AA" w14:textId="0889EEDC" w:rsidR="00861D05" w:rsidRDefault="00861D05" w:rsidP="00861D05">
      <w:r>
        <w:t>Integration failure is a safety failure</w:t>
      </w:r>
    </w:p>
    <w:p w14:paraId="6173AC1E" w14:textId="77777777" w:rsidR="00861D05" w:rsidRDefault="00861D05" w:rsidP="00861D05">
      <w:r>
        <w:t>Victim-survivors are often moved between services with different eligibility rules, risk frameworks, evidence requirements and language policies. Referral is not integration. A list of phone numbers leaves the woman to repeat her story, resolve conflicting advice and carry the risk of service failure.</w:t>
      </w:r>
    </w:p>
    <w:p w14:paraId="433152DD" w14:textId="68F05C78" w:rsidR="00861D05" w:rsidRDefault="00861D05" w:rsidP="00861D05">
      <w:r>
        <w:t>A safe integrated response requires warm referral, informed consent-based information sharing, named contacts, secondary consultation, follow-up and an escalation pathway when a service refuses or cannot respond. Specialist multicultural services should have a funded role across local and national coordination, not an unfunded expectation to repair mainstream gaps.</w:t>
      </w:r>
    </w:p>
    <w:p w14:paraId="5644C81E" w14:textId="77777777" w:rsidR="00861D05" w:rsidRDefault="00861D05" w:rsidP="00861D05">
      <w:r>
        <w:t>Strengthen warm referral and secondary consultation</w:t>
      </w:r>
    </w:p>
    <w:p w14:paraId="27BE0CF4" w14:textId="77777777" w:rsidR="00861D05" w:rsidRDefault="00861D05" w:rsidP="00861D05">
      <w:r>
        <w:t>Funded pathways are needed across specialist domestic, family and sexual violence services, settlement, migration, housing, health, legal assistance, policing, courts, child protection, education and income support. Monitoring should identify unsuccessful referrals and recurring access barriers so responsibility for resolving service gaps does not fall on victim-survivors. Commissioning and funding agreements should include measurable requirements for warm referral, escalation, follow-up and reporting.</w:t>
      </w:r>
    </w:p>
    <w:p w14:paraId="45671672" w14:textId="6ACA2B69" w:rsidR="00861D05" w:rsidRDefault="00861D05" w:rsidP="00861D05">
      <w:r>
        <w:t>Based on the poignant risks seen, IWSS strongly recommends that KPIs and contractual agreements have accountability mechanisms in reporting to ensure this critical need is embedded in service always delivered. Further recommended is the regular mandatory training of staff in culturally competent skills and to ensure a cultural lens is applied in all contact with CALD / NESB background clients.</w:t>
      </w:r>
    </w:p>
    <w:p w14:paraId="1ED4F858" w14:textId="77777777" w:rsidR="00861D05" w:rsidRDefault="00861D05" w:rsidP="00861D05">
      <w:r>
        <w:t>Build cross-sector capability</w:t>
      </w:r>
    </w:p>
    <w:p w14:paraId="6B481524" w14:textId="77777777" w:rsidR="00861D05" w:rsidRDefault="00861D05" w:rsidP="00861D05">
      <w:r>
        <w:t>Specialist violence workers require capability in migration, settlement, racism, interpreter engagement and transnational risk. Settlement, multicultural and universal service workers require capability to recognise and respond safely to domestic and family violence and sexual violence. This capability requires ongoing training, culturally responsive supervision, clear practice standards and access to specialist secondary consultation.</w:t>
      </w:r>
    </w:p>
    <w:p w14:paraId="476009BA" w14:textId="77777777" w:rsidR="00861D05" w:rsidRDefault="00861D05" w:rsidP="00861D05">
      <w:r>
        <w:t>Bicultural workers bring cultural, language and relational expertise that strengthens access, assessment and engagement. Their roles can also involve high community expectations, limited anonymity and exposure to distressing disclosures. Workforce planning should recognise this expertise through appropriate classification, supervision, professional development, wellbeing support and progression pathways.</w:t>
      </w:r>
    </w:p>
    <w:p w14:paraId="2D3E8A3F" w14:textId="231EAC71" w:rsidR="00861D05" w:rsidRDefault="00861D05" w:rsidP="00861D05">
      <w:r>
        <w:lastRenderedPageBreak/>
        <w:t>Funding arrangements should support workforce retention, supervision and service continuity. The full cost of delivery includes administration, data, technology, interpreting, outreach, governance, evaluation, infrastructure, clinical supervision and culturally responsive practice.</w:t>
      </w:r>
    </w:p>
    <w:p w14:paraId="534A6E39" w14:textId="77777777" w:rsidR="00861D05" w:rsidRDefault="00861D05" w:rsidP="00861D05">
      <w:r>
        <w:t>Adopt a specialist multicultural workforce strategy</w:t>
      </w:r>
    </w:p>
    <w:p w14:paraId="0BCF82BB" w14:textId="685F17BD" w:rsidR="00861D05" w:rsidRDefault="00861D05" w:rsidP="00861D05">
      <w:r>
        <w:t>Provide long-term indexed funding, competitive remuneration, clinical and cultural supervision, workforce wellbeing, specialist training, bicultural career pathways and funded participation in coordination and policy work.</w:t>
      </w:r>
    </w:p>
    <w:p w14:paraId="32D6EF4A" w14:textId="77777777" w:rsidR="00861D05" w:rsidRDefault="00861D05" w:rsidP="00861D05">
      <w:r>
        <w:t>Fund the true cost of specialist services</w:t>
      </w:r>
    </w:p>
    <w:p w14:paraId="69846F54" w14:textId="28EB5D18" w:rsidR="00861D05" w:rsidRDefault="00861D05" w:rsidP="00861D05">
      <w:r>
        <w:t>Commission for complexity, quality and outcomes rather than throughput alone. Recognise time spent on interpreting, risk assessment, transnational safety planning, multi-system advocacy, warm referral, child support, legal coordination and secondary consultation.</w:t>
      </w:r>
    </w:p>
    <w:p w14:paraId="18AFC9A7" w14:textId="77777777" w:rsidR="00861D05" w:rsidRDefault="00861D05" w:rsidP="00861D05">
      <w:r>
        <w:t>Sexual violence requires dedicated national action</w:t>
      </w:r>
    </w:p>
    <w:p w14:paraId="320EDD24" w14:textId="1CEF71BF" w:rsidR="00861D05" w:rsidRDefault="00861D05" w:rsidP="00861D05">
      <w:r>
        <w:t>IWSS supports the sector call for a dedicated National Sexual Violence Strategy and associated funding stream. A distinct strategy should address sexual violence within and outside intimate and family relationships and connect with work on child sexual abuse, online harms, workplaces, education, institutions, trafficking and exploitation.</w:t>
      </w:r>
    </w:p>
    <w:p w14:paraId="7F467568" w14:textId="77777777" w:rsidR="00861D05" w:rsidRDefault="00861D05" w:rsidP="00861D05">
      <w:r>
        <w:t xml:space="preserve">For migrant, refugee and asylum seeker victim-survivors, specialist responses should address language access, visa and employment dependency, </w:t>
      </w:r>
      <w:proofErr w:type="spellStart"/>
      <w:r>
        <w:t>racialised</w:t>
      </w:r>
      <w:proofErr w:type="spellEnd"/>
      <w:r>
        <w:t xml:space="preserve"> sexual harassment, unsafe and insecure work, exploitation, transnational threats, community consequences and barriers to criminal and civil justice. International students, temporary migrant workers and people recruited through labour mobility arrangements can face heightened risks where employment, accommodation and visa pathways are linked. Disclosure must not be made conditional on police reporting.</w:t>
      </w:r>
    </w:p>
    <w:p w14:paraId="6FF29877" w14:textId="35D08E4A" w:rsidR="00861D05" w:rsidRDefault="00861D05" w:rsidP="00861D05">
      <w:r>
        <w:t>Investment in generalist services should not shift complex work to specialist sexual violence services without corresponding resources. Specialist services should lead practice standards, workforce development, prevention and recovery responses.</w:t>
      </w:r>
    </w:p>
    <w:p w14:paraId="48CFF8FA" w14:textId="77777777" w:rsidR="00861D05" w:rsidRDefault="00861D05" w:rsidP="00861D05">
      <w:r>
        <w:t>Establish a National Sexual Violence Strategy and dedicated funding stream</w:t>
      </w:r>
    </w:p>
    <w:p w14:paraId="32D9DF9E" w14:textId="7522096D" w:rsidR="00861D05" w:rsidRDefault="00861D05" w:rsidP="00861D05">
      <w:r>
        <w:t>Develop the strategy with specialist domestic, family and sexual violence services, multicultural specialists and victim-survivors. Include prevention, early intervention, immediate response, long-term recovery, justice options, perpetration interventions, workforce development, research and transparent funding accountability.</w:t>
      </w:r>
    </w:p>
    <w:p w14:paraId="6B648357" w14:textId="77777777" w:rsidR="00861D05" w:rsidRDefault="00861D05" w:rsidP="00861D05">
      <w:r>
        <w:t>Case study: Sexual violence and temporary visa exclusions</w:t>
      </w:r>
    </w:p>
    <w:p w14:paraId="0A0FA3BC" w14:textId="77777777" w:rsidR="00861D05" w:rsidRDefault="00861D05" w:rsidP="00861D05">
      <w:r>
        <w:lastRenderedPageBreak/>
        <w:t>Jovi was in Australia on a working holiday visa when she accepted a one-week cleaning job at a remote construction site. She also lived on site. Her boss sent sexually suggestive messages, asked to touch her body and told her that he had a gun.</w:t>
      </w:r>
    </w:p>
    <w:p w14:paraId="150911FB" w14:textId="77777777" w:rsidR="00861D05" w:rsidRDefault="00861D05" w:rsidP="00861D05">
      <w:r>
        <w:t>During her first week, the boss came to her accommodation. Jovi reported feeling scared and intimidated and said that he sexually assaulted her. She resigned and left the site. Jovi reported the assault to police, but no charges were laid. She did not pursue the matter further because she believed she would not be believed.</w:t>
      </w:r>
    </w:p>
    <w:p w14:paraId="180383E2" w14:textId="77777777" w:rsidR="00861D05" w:rsidRDefault="00861D05" w:rsidP="00861D05">
      <w:r>
        <w:t>Jovi’s experience shows how sexual violence, insecure work, employer power, isolation and visa status can intersect. A person should not have to choose between safety, accommodation, income and future migration options. It demonstrates how visa-linked eligibility rules can exclude victim-survivors whose need for safety is immediate. The Second Action Plan should ensure that sexual violence responses cover non-intimate-partner violence and provide support according to need, not visa category or relationship to the person who caused harm.</w:t>
      </w:r>
    </w:p>
    <w:p w14:paraId="1343507E" w14:textId="5192505E" w:rsidR="00861D05" w:rsidRDefault="00861D05" w:rsidP="00861D05">
      <w:r>
        <w:t xml:space="preserve">Jovi is a pseudonym. </w:t>
      </w:r>
    </w:p>
    <w:p w14:paraId="1873B8BC" w14:textId="77777777" w:rsidR="00861D05" w:rsidRDefault="00861D05" w:rsidP="00861D05">
      <w:r>
        <w:t>Implementation, evidence and accountability</w:t>
      </w:r>
    </w:p>
    <w:p w14:paraId="2A82B84C" w14:textId="77777777" w:rsidR="00861D05" w:rsidRDefault="00861D05" w:rsidP="00861D05">
      <w:r>
        <w:t>The Second Action Plan needs a clear line between commitments, funding, responsibility and outcomes. Broad commitments to diversity have not consistently produced equitable access. Actions affecting migrant and refugee women, children and young people should identify the responsible government, delivery partners, funding source, timeframes, indicators and public reporting mechanisms. Implementation should retain enough flexibility for specialist domestic, family and sexual violence services to develop responses grounded in emerging need and practice evidence.</w:t>
      </w:r>
    </w:p>
    <w:p w14:paraId="73E517B2" w14:textId="77777777" w:rsidR="00861D05" w:rsidRDefault="00861D05" w:rsidP="00861D05">
      <w:r>
        <w:t>National data should better capture country of birth, languages used, interpreter need and provision, year of arrival, migration pathway and visa status where safe and appropriate, alongside disability, age, location, sexuality and gender identity. Collection must be voluntary where appropriate, transparent, privacy-protective and designed with affected communities. The purpose is equity and accountability, not surveillance.</w:t>
      </w:r>
    </w:p>
    <w:p w14:paraId="36CAEA92" w14:textId="77777777" w:rsidR="00861D05" w:rsidRDefault="00861D05" w:rsidP="00861D05">
      <w:r>
        <w:t>Implementation should identify, evaluate and share promising practice led by specialist multicultural services and communities. Scaling should preserve community ownership, cultural safety and the elements that made the approach effective.</w:t>
      </w:r>
    </w:p>
    <w:p w14:paraId="0722E4EF" w14:textId="7B0A34A3" w:rsidR="00861D05" w:rsidRDefault="00861D05" w:rsidP="00861D05">
      <w:r>
        <w:t>Service data alone will not show unmet need. People excluded by eligibility rules, unsafe interpreting, distrust, digital barriers or fear of immigration consequences often remain invisible. Evaluation should combine administrative data with qualitative evidence from victim-survivors, practitioners and specialist services.</w:t>
      </w:r>
    </w:p>
    <w:p w14:paraId="60B553A7" w14:textId="77777777" w:rsidR="00861D05" w:rsidRDefault="00861D05" w:rsidP="00861D05">
      <w:r>
        <w:t>Inclusive governance and participation</w:t>
      </w:r>
    </w:p>
    <w:p w14:paraId="53CD151C" w14:textId="1AA90C2B" w:rsidR="00861D05" w:rsidRDefault="00861D05" w:rsidP="00861D05">
      <w:r>
        <w:lastRenderedPageBreak/>
        <w:t>Governance, implementation and evaluation should include migrant and refugee women, people with lived experience, specialist multicultural services, bicultural practitioners, sexual violence specialists, disability advocates, young people and regional communities. Participation should influence decisions rather than operate as one-off consultation.</w:t>
      </w:r>
    </w:p>
    <w:p w14:paraId="404E83C1" w14:textId="581437AF" w:rsidR="00861D05" w:rsidRDefault="00861D05" w:rsidP="00861D05">
      <w:r>
        <w:t>Safe and informed participation requires payment, interpreting, accessible information, preparation, support people, choice about attribution, continuing consent and clear advice about how contributions will be used. Governments should report back to participants and communities on decisions and outcomes.</w:t>
      </w:r>
    </w:p>
    <w:p w14:paraId="5DC50C11" w14:textId="166C4205" w:rsidR="00861D05" w:rsidRDefault="00861D05" w:rsidP="00861D05">
      <w:pPr>
        <w:rPr>
          <w:b/>
          <w:bCs/>
        </w:rPr>
      </w:pPr>
      <w:r w:rsidRPr="00861D05">
        <w:rPr>
          <w:b/>
          <w:bCs/>
        </w:rPr>
        <w:t>Are there any other actions you think should be a priority to stop family, domestic and sexual violence?</w:t>
      </w:r>
    </w:p>
    <w:p w14:paraId="4B3A45BE" w14:textId="688C0028" w:rsidR="00861D05" w:rsidRDefault="00861D05" w:rsidP="00861D05">
      <w:r>
        <w:t>Consolidated recommendations</w:t>
      </w:r>
    </w:p>
    <w:p w14:paraId="1592642A" w14:textId="77777777" w:rsidR="00861D05" w:rsidRDefault="00861D05" w:rsidP="00861D05">
      <w:r>
        <w:t>1. Sustain specialist services and workforce</w:t>
      </w:r>
    </w:p>
    <w:p w14:paraId="657BC5F4" w14:textId="04771C79" w:rsidR="00861D05" w:rsidRDefault="00861D05" w:rsidP="00861D05">
      <w:r>
        <w:t>Provide long-term, indexed funding for specialist multicultural domestic and family violence and sexual violence services. Funding should cover the full cost of complex service delivery, including qualified interpreters and translation, bicultural workers, clinical supervision, workforce wellbeing, professional development, outreach, data, evaluation and practice-led evidence.</w:t>
      </w:r>
    </w:p>
    <w:p w14:paraId="586617BA" w14:textId="77777777" w:rsidR="00861D05" w:rsidRDefault="00861D05" w:rsidP="00861D05">
      <w:r>
        <w:t>2. Guarantee equitable access to safety and recovery</w:t>
      </w:r>
    </w:p>
    <w:p w14:paraId="7607C03A" w14:textId="03CA56F8" w:rsidR="00861D05" w:rsidRDefault="00861D05" w:rsidP="00861D05">
      <w:r>
        <w:t xml:space="preserve">Guarantee access to safe housing, income, health care, </w:t>
      </w:r>
      <w:proofErr w:type="gramStart"/>
      <w:r>
        <w:t>child care</w:t>
      </w:r>
      <w:proofErr w:type="gramEnd"/>
      <w:r>
        <w:t>, legal assistance, qualified independent interpreters and recovery support for victim-survivors and their dependents, regardless of visa status. Stable housing and economic security should be treated as essential prevention and recovery infrastructure.</w:t>
      </w:r>
    </w:p>
    <w:p w14:paraId="22665973" w14:textId="77777777" w:rsidR="00861D05" w:rsidRDefault="00861D05" w:rsidP="00861D05">
      <w:r>
        <w:t>3. Build migration-informed and integrated responses</w:t>
      </w:r>
    </w:p>
    <w:p w14:paraId="5FA98179" w14:textId="4A504094" w:rsidR="00861D05" w:rsidRDefault="00861D05" w:rsidP="00861D05">
      <w:r>
        <w:t>Create nationally consistent policy, risk assessment and practice guidance on visa-related coercive control, transnational and multi-perpetrator abuse, forced marriage, including child and early marriage, dowry abuse, trafficking, systems abuse and victim-survivor misidentification. Integrated pathways should include warm referrals, specialist secondary consultation, named escalation contacts and accountability when referrals fail.</w:t>
      </w:r>
    </w:p>
    <w:p w14:paraId="04D8EB62" w14:textId="77777777" w:rsidR="00861D05" w:rsidRDefault="00861D05" w:rsidP="00861D05">
      <w:r>
        <w:t>4. Strengthen sexual violence and child-centred responses</w:t>
      </w:r>
    </w:p>
    <w:p w14:paraId="4C8FF5EE" w14:textId="1FC10101" w:rsidR="00861D05" w:rsidRDefault="00861D05" w:rsidP="00861D05">
      <w:r>
        <w:t>Establish a dedicated National Sexual Violence Strategy and a transparent, flexible funding stream led by specialist expertise and lived experience. Fund independent, culturally responsive and developmentally appropriate prevention, response, recovery and healing services for children and young people.</w:t>
      </w:r>
    </w:p>
    <w:p w14:paraId="49DA89DF" w14:textId="77777777" w:rsidR="00861D05" w:rsidRDefault="00861D05" w:rsidP="00861D05">
      <w:r>
        <w:lastRenderedPageBreak/>
        <w:t>5. Invest in prevention and perpetrator accountability</w:t>
      </w:r>
    </w:p>
    <w:p w14:paraId="630B4AA9" w14:textId="6D3EDD69" w:rsidR="00861D05" w:rsidRDefault="00861D05" w:rsidP="00861D05">
      <w:r>
        <w:t>Invest beyond short-term pilots in community-designed prevention with specialist governance, safeguarding and evaluation. Develop and evaluate culturally grounded interventions for people who use violence, with specialist women’s services involved in design, safety monitoring and accountability, while protecting victim-survivor choice and confidentiality.</w:t>
      </w:r>
    </w:p>
    <w:p w14:paraId="433C1A79" w14:textId="77777777" w:rsidR="00861D05" w:rsidRDefault="00861D05" w:rsidP="00861D05">
      <w:r>
        <w:t>6. Embed equity, lived experience and accountability</w:t>
      </w:r>
    </w:p>
    <w:p w14:paraId="1E41DA96" w14:textId="2581524B" w:rsidR="00861D05" w:rsidRDefault="00861D05" w:rsidP="00861D05">
      <w:r>
        <w:t>Embed paid and supported participation by migrant and refugee women, victim-survivors and specialist multicultural services in implementation, governance and evaluation. Collect safe, disaggregated equity data and report publicly on access, outcomes, unmet need, funding and progress against defined responsibilities and timeframes.</w:t>
      </w:r>
    </w:p>
    <w:p w14:paraId="363EF3E7" w14:textId="19EFF471" w:rsidR="00861D05" w:rsidRDefault="00861D05" w:rsidP="00861D05">
      <w:r>
        <w:t>Conclusion</w:t>
      </w:r>
    </w:p>
    <w:p w14:paraId="281FBD69" w14:textId="77777777" w:rsidR="00861D05" w:rsidRDefault="00861D05" w:rsidP="00861D05">
      <w:r>
        <w:t xml:space="preserve">The Second Action Plan is an opportunity to move from recognising diversity to designing for equity. Migrant and refugee women, children and young people should not have to overcome migration rules, unsafe language practices, fragmented services and </w:t>
      </w:r>
      <w:proofErr w:type="spellStart"/>
      <w:r>
        <w:t>racialised</w:t>
      </w:r>
      <w:proofErr w:type="spellEnd"/>
      <w:r>
        <w:t xml:space="preserve"> assumptions before the system responds to violence.</w:t>
      </w:r>
    </w:p>
    <w:p w14:paraId="64B22C79" w14:textId="77777777" w:rsidR="00861D05" w:rsidRDefault="00861D05" w:rsidP="00861D05">
      <w:r>
        <w:t>Specialist domestic, family and sexual violence multicultural services hold the expertise, relationships and practice knowledge required to turn national commitments into safe access and sustained recovery. Their role should be embedded and funded across prevention, early intervention, response, recovery and healing.</w:t>
      </w:r>
    </w:p>
    <w:p w14:paraId="363C2B99" w14:textId="025BE1BE" w:rsidR="00861D05" w:rsidRPr="00861D05" w:rsidRDefault="00861D05" w:rsidP="00861D05">
      <w:r>
        <w:t>Australia will make stronger progress when every part of the system takes responsibility for reducing structural barriers, when sexual violence remains visible, when children are recognised, when people using violence are held accountable, and when victim-survivors help govern the actions intended to support them.</w:t>
      </w:r>
    </w:p>
    <w:sectPr w:rsidR="00861D05" w:rsidRPr="00861D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D05"/>
    <w:rsid w:val="00022A23"/>
    <w:rsid w:val="0023679E"/>
    <w:rsid w:val="00861D05"/>
    <w:rsid w:val="00D807DD"/>
    <w:rsid w:val="00E74AB5"/>
    <w:rsid w:val="00F01E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9EB9D"/>
  <w15:chartTrackingRefBased/>
  <w15:docId w15:val="{03A1EF75-CEBF-4331-92D1-F2D3759FD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1D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1D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1D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1D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1D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1D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1D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1D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1D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D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1D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1D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1D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1D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1D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D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D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D05"/>
    <w:rPr>
      <w:rFonts w:eastAsiaTheme="majorEastAsia" w:cstheme="majorBidi"/>
      <w:color w:val="272727" w:themeColor="text1" w:themeTint="D8"/>
    </w:rPr>
  </w:style>
  <w:style w:type="paragraph" w:styleId="Title">
    <w:name w:val="Title"/>
    <w:basedOn w:val="Normal"/>
    <w:next w:val="Normal"/>
    <w:link w:val="TitleChar"/>
    <w:uiPriority w:val="10"/>
    <w:qFormat/>
    <w:rsid w:val="00861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D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D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D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D05"/>
    <w:pPr>
      <w:spacing w:before="160"/>
      <w:jc w:val="center"/>
    </w:pPr>
    <w:rPr>
      <w:i/>
      <w:iCs/>
      <w:color w:val="404040" w:themeColor="text1" w:themeTint="BF"/>
    </w:rPr>
  </w:style>
  <w:style w:type="character" w:customStyle="1" w:styleId="QuoteChar">
    <w:name w:val="Quote Char"/>
    <w:basedOn w:val="DefaultParagraphFont"/>
    <w:link w:val="Quote"/>
    <w:uiPriority w:val="29"/>
    <w:rsid w:val="00861D05"/>
    <w:rPr>
      <w:i/>
      <w:iCs/>
      <w:color w:val="404040" w:themeColor="text1" w:themeTint="BF"/>
    </w:rPr>
  </w:style>
  <w:style w:type="paragraph" w:styleId="ListParagraph">
    <w:name w:val="List Paragraph"/>
    <w:basedOn w:val="Normal"/>
    <w:uiPriority w:val="34"/>
    <w:qFormat/>
    <w:rsid w:val="00861D05"/>
    <w:pPr>
      <w:ind w:left="720"/>
      <w:contextualSpacing/>
    </w:pPr>
  </w:style>
  <w:style w:type="character" w:styleId="IntenseEmphasis">
    <w:name w:val="Intense Emphasis"/>
    <w:basedOn w:val="DefaultParagraphFont"/>
    <w:uiPriority w:val="21"/>
    <w:qFormat/>
    <w:rsid w:val="00861D05"/>
    <w:rPr>
      <w:i/>
      <w:iCs/>
      <w:color w:val="0F4761" w:themeColor="accent1" w:themeShade="BF"/>
    </w:rPr>
  </w:style>
  <w:style w:type="paragraph" w:styleId="IntenseQuote">
    <w:name w:val="Intense Quote"/>
    <w:basedOn w:val="Normal"/>
    <w:next w:val="Normal"/>
    <w:link w:val="IntenseQuoteChar"/>
    <w:uiPriority w:val="30"/>
    <w:qFormat/>
    <w:rsid w:val="00861D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1D05"/>
    <w:rPr>
      <w:i/>
      <w:iCs/>
      <w:color w:val="0F4761" w:themeColor="accent1" w:themeShade="BF"/>
    </w:rPr>
  </w:style>
  <w:style w:type="character" w:styleId="IntenseReference">
    <w:name w:val="Intense Reference"/>
    <w:basedOn w:val="DefaultParagraphFont"/>
    <w:uiPriority w:val="32"/>
    <w:qFormat/>
    <w:rsid w:val="00861D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363D7B-4174-485B-92B9-1313DFA800F3}"/>
</file>

<file path=customXml/itemProps2.xml><?xml version="1.0" encoding="utf-8"?>
<ds:datastoreItem xmlns:ds="http://schemas.openxmlformats.org/officeDocument/2006/customXml" ds:itemID="{9F6308E9-AC83-450D-A975-EF8C40D1EB92}"/>
</file>

<file path=customXml/itemProps3.xml><?xml version="1.0" encoding="utf-8"?>
<ds:datastoreItem xmlns:ds="http://schemas.openxmlformats.org/officeDocument/2006/customXml" ds:itemID="{497BD4F6-532B-414F-8B44-29ECC99E95A3}"/>
</file>

<file path=docProps/app.xml><?xml version="1.0" encoding="utf-8"?>
<Properties xmlns="http://schemas.openxmlformats.org/officeDocument/2006/extended-properties" xmlns:vt="http://schemas.openxmlformats.org/officeDocument/2006/docPropsVTypes">
  <Template>Normal.dotm</Template>
  <TotalTime>3</TotalTime>
  <Pages>11</Pages>
  <Words>4183</Words>
  <Characters>23845</Characters>
  <Application>Microsoft Office Word</Application>
  <DocSecurity>0</DocSecurity>
  <Lines>198</Lines>
  <Paragraphs>55</Paragraphs>
  <ScaleCrop>false</ScaleCrop>
  <Company/>
  <LinksUpToDate>false</LinksUpToDate>
  <CharactersWithSpaces>27973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2026-09-02T04:54:00Z</dcterms:created>
  <dcterms:modified xsi:type="dcterms:W3CDTF">2026-09-02T04:58:00Z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