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B9D13" w14:textId="0F72AC69" w:rsidR="0023679E" w:rsidRDefault="00222D66">
      <w:pPr>
        <w:rPr>
          <w:b/>
          <w:bCs/>
        </w:rPr>
      </w:pPr>
      <w:r w:rsidRPr="00222D66">
        <w:rPr>
          <w:b/>
          <w:bCs/>
        </w:rPr>
        <w:t>No to Violence</w:t>
      </w:r>
    </w:p>
    <w:p w14:paraId="4BE699B3" w14:textId="55F7F238" w:rsidR="00222D66" w:rsidRDefault="00222D66">
      <w:pPr>
        <w:rPr>
          <w:b/>
          <w:bCs/>
        </w:rPr>
      </w:pPr>
      <w:r w:rsidRPr="00222D66">
        <w:rPr>
          <w:b/>
          <w:bCs/>
        </w:rPr>
        <w:t>Feedback for Priority Area 1: Victim-survivors</w:t>
      </w:r>
    </w:p>
    <w:p w14:paraId="2DE10F63" w14:textId="77777777" w:rsidR="00222D66" w:rsidRDefault="00222D66" w:rsidP="00222D66">
      <w:r>
        <w:t>6.</w:t>
      </w:r>
      <w:r>
        <w:tab/>
        <w:t>Dedicated, ring-fenced funding for family safety contact and advocacy work as a mandatory component of all Commonwealth and state funding for programs working with men who use family violence — not folded into general program budgets.</w:t>
      </w:r>
    </w:p>
    <w:p w14:paraId="6DCB5837" w14:textId="0880A9CF" w:rsidR="00222D66" w:rsidRPr="00222D66" w:rsidRDefault="00222D66" w:rsidP="00222D66">
      <w:pPr>
        <w:rPr>
          <w:b/>
          <w:bCs/>
        </w:rPr>
      </w:pPr>
      <w:r w:rsidRPr="00222D66">
        <w:rPr>
          <w:b/>
          <w:bCs/>
        </w:rPr>
        <w:t>Feedback for Priority Area 2: Prevention and early intervention</w:t>
      </w:r>
    </w:p>
    <w:p w14:paraId="20D8072C" w14:textId="2E181ADD" w:rsidR="00222D66" w:rsidRDefault="00222D66" w:rsidP="00222D66">
      <w:r>
        <w:t>7.</w:t>
      </w:r>
      <w:r>
        <w:tab/>
        <w:t xml:space="preserve">A substantial, specified increase in funding for early intervention programs for people beginning to use, or at risk of escalating DFV.  </w:t>
      </w:r>
    </w:p>
    <w:p w14:paraId="1A97E6F2" w14:textId="77777777" w:rsidR="00222D66" w:rsidRDefault="00222D66" w:rsidP="00222D66">
      <w:r>
        <w:t>8.</w:t>
      </w:r>
      <w:r>
        <w:tab/>
        <w:t xml:space="preserve">Identify investment at critical life junctures as high-yield points to intervene before escalation, including first-time fatherhood, job loss and economic insecurity, disaster contexts, and permanent injury or cognitive decline. </w:t>
      </w:r>
    </w:p>
    <w:p w14:paraId="5083A216" w14:textId="77777777" w:rsidR="00222D66" w:rsidRDefault="00222D66" w:rsidP="00222D66">
      <w:r>
        <w:t>9.</w:t>
      </w:r>
      <w:r>
        <w:tab/>
        <w:t xml:space="preserve">Deliver universal workforce training at scale, paired with embedded specialist capacity—equipping youth, early parenting, health, mental health, AOD, homelessness and youth justice workers to safely recognise youth intimate partner violence (IPV), respond to immediate disclosure and safety needs, and make a warm, active referral, while embedding or making accessible youth IPV specialists within the same services for in-depth intervention work. This is the fastest, lowest cost first </w:t>
      </w:r>
      <w:proofErr w:type="gramStart"/>
      <w:r>
        <w:t>step</w:t>
      </w:r>
      <w:proofErr w:type="gramEnd"/>
      <w:r>
        <w:t xml:space="preserve"> available. These workers are already the first point of contact for young people using or experiencing IPV yet currently lack the training and referral pathways to respond safely and confidently. Any national model must be built around the evidence that young people want support from adults they already trust; meaning the trusted worker remains the entry point and the safe hands, while specialist depth is built alongside them, not instead of them, and formal referral pathways between generalist and specialist services, currently identified as a critical gap, are properly resourced rather than left informal.  </w:t>
      </w:r>
    </w:p>
    <w:p w14:paraId="64EE0D77" w14:textId="77777777" w:rsidR="00222D66" w:rsidRDefault="00222D66" w:rsidP="00222D66">
      <w:r>
        <w:t>10.</w:t>
      </w:r>
      <w:r>
        <w:tab/>
        <w:t>Identify and sustainably fund the programs already piloted and shown to work for young men at risk of using, or beginning to use, AVITH and youth IPV — rather than continuing to fund this work through sporadic, self-initiated or intermittent arrangements. Programs already operating with promising results include Caring Dads (for young fathers), Home Base's Merge and Flo programs delivered in Tasmanian schools, and Meli's Young Men's Behaviour Change Group in Geelong. The National Youth IPV Network's own submission to this consultation identifies this as a critical gap: young men using youth IPV are frequently offered ""a referral with no hope,"" with existing responses ""provided on a sporadic pilot basis, lack[</w:t>
      </w:r>
      <w:proofErr w:type="spellStart"/>
      <w:r>
        <w:t>ing</w:t>
      </w:r>
      <w:proofErr w:type="spellEnd"/>
      <w:r>
        <w:t xml:space="preserve">] longitudinal evaluation"" and reliant on services self-funding the work.  What's missing is not evidence of what works, but a funding commitment that enables proven models to operate continuously rather than on a program-to-program basis. </w:t>
      </w:r>
    </w:p>
    <w:p w14:paraId="10B56D0D" w14:textId="77777777" w:rsidR="00222D66" w:rsidRDefault="00222D66" w:rsidP="00222D66">
      <w:r>
        <w:lastRenderedPageBreak/>
        <w:t>11.</w:t>
      </w:r>
      <w:r>
        <w:tab/>
        <w:t>Resource accommodation pathways that enable behaviour change engagement, not just crisis housing. Unstable accommodation removes any stable base from which behaviour change work can occur, and residence in a household where DFV/IPV is occurring can undermine both victim-survivor safety and a young man's capacity to engage in behaviour change. This is not a general call for youth housing investment; sister organisations working with children and young people as victim-survivors have already made that case at length. It is a specific, practical barrier to NTV's members’ core work. NTV's 2026 national member survey identified residential and accommodation options as one of members' key asks for improving service capacity, reflecting how consistently this barrier is raised directly by the practitioners delivering behaviour change work.</w:t>
      </w:r>
    </w:p>
    <w:p w14:paraId="00D0A3DD" w14:textId="64F8CD77" w:rsidR="00222D66" w:rsidRPr="00222D66" w:rsidRDefault="00222D66" w:rsidP="00222D66">
      <w:pPr>
        <w:rPr>
          <w:b/>
          <w:bCs/>
        </w:rPr>
      </w:pPr>
      <w:r w:rsidRPr="00222D66">
        <w:rPr>
          <w:b/>
          <w:bCs/>
        </w:rPr>
        <w:t>Feedback for Priority Area 3: Children and young people in their own right</w:t>
      </w:r>
    </w:p>
    <w:p w14:paraId="1B878884" w14:textId="1B254B90" w:rsidR="00222D66" w:rsidRDefault="00222D66" w:rsidP="00222D66">
      <w:r>
        <w:t>1.</w:t>
      </w:r>
      <w:r>
        <w:tab/>
        <w:t>Build out the ecological model the Theory of Change already names. The 2023 Theory of Change explicitly adopts a social-ecological model but populates its individual and relationship level almost entirely with attitudes, awareness and gender inequality. The Second Action Plan needs to advance a framework that enables interventions to account for and engage with the complexities of the clients they work with that shape their experiences and use of violence.</w:t>
      </w:r>
    </w:p>
    <w:p w14:paraId="5BF77042" w14:textId="77777777" w:rsidR="00222D66" w:rsidRDefault="00222D66" w:rsidP="00222D66">
      <w:r>
        <w:t>2.</w:t>
      </w:r>
      <w:r>
        <w:tab/>
        <w:t>Test and scale gender-transformative programs for the life-stages this model identifies as under-served, starting with fathers and parents, who do not appear in the National Plan or First Action Plan despite strong international evidence.</w:t>
      </w:r>
    </w:p>
    <w:p w14:paraId="4892D8A5" w14:textId="5BE79511" w:rsidR="00222D66" w:rsidRPr="00222D66" w:rsidRDefault="00222D66" w:rsidP="00222D66">
      <w:pPr>
        <w:rPr>
          <w:b/>
          <w:bCs/>
        </w:rPr>
      </w:pPr>
      <w:r w:rsidRPr="00222D66">
        <w:rPr>
          <w:b/>
          <w:bCs/>
        </w:rPr>
        <w:t>Feedback for Priority Area 4: People who use violence</w:t>
      </w:r>
    </w:p>
    <w:p w14:paraId="398CF437" w14:textId="3E9A82A5" w:rsidR="00222D66" w:rsidRDefault="00222D66" w:rsidP="00222D66">
      <w:r>
        <w:t>3.</w:t>
      </w:r>
      <w:r>
        <w:tab/>
        <w:t>Increase investment in earlier intervention and fund a continuum of responses to men using domestic and family violence (DFV) at a scale that matches the size of the problem. This includes strengthening what Men's Behaviour Change Programs (MBCPs) themselves can offer—funding the individual case management and therapeutic counselling alongside group work that evaluations consistently call for—as well as building the earlier entry points and additional program types that do not yet exist alongside them, rather than concentrating all new investment in the criminal-legal system's late-stage, crisis-point response</w:t>
      </w:r>
      <w:proofErr w:type="gramStart"/>
      <w:r>
        <w:t>. ,</w:t>
      </w:r>
      <w:proofErr w:type="gramEnd"/>
      <w:r>
        <w:t xml:space="preserve">  </w:t>
      </w:r>
    </w:p>
    <w:p w14:paraId="6F81A7A9" w14:textId="77777777" w:rsidR="00222D66" w:rsidRDefault="00222D66" w:rsidP="00222D66">
      <w:r>
        <w:t>4.</w:t>
      </w:r>
      <w:r>
        <w:tab/>
        <w:t xml:space="preserve">Adopt a principle-based framework as the basis for commissioning/funding and evaluating responses to men who use violence, so that expansion of the sector is deliberate and safety-focused. </w:t>
      </w:r>
    </w:p>
    <w:p w14:paraId="5C09FBC0" w14:textId="77777777" w:rsidR="00222D66" w:rsidRDefault="00222D66" w:rsidP="00222D66">
      <w:r>
        <w:t>5.</w:t>
      </w:r>
      <w:r>
        <w:tab/>
        <w:t xml:space="preserve">Resource an interconnected system, not standalone, disconnected programs, so that men can move between different levels of intervention over time and ensure risk management and victim-survivor safety never depend on a man's willingness to engage. </w:t>
      </w:r>
    </w:p>
    <w:p w14:paraId="060BCA3F" w14:textId="77777777" w:rsidR="00222D66" w:rsidRDefault="00222D66" w:rsidP="00222D66">
      <w:r>
        <w:lastRenderedPageBreak/>
        <w:t>17.</w:t>
      </w:r>
      <w:r>
        <w:tab/>
        <w:t>Fund a National Violence Intervention Learning Collaborative, coordinated by NTV and developed in partnership with ANROWS, to capture, synthesise and translate practice knowledge into research and policy, and to translate research and policy knowledge back into practice. The Collaborative would develop a national outcomes framework to help the specialist sector move from reporting blunt output measures—attendance, completion and recidivism—towards meaningful outcome measures centred on victim-survivors' own assessments of change, closing a gap starkly illustrated by a recent scoping review which found that research on men's participation in behaviour change treatment represents just 0.2% of domestic violence literature internationally.  It would also support national reporting on the total number of men receiving behaviour change interventions and the nature of those interventions. The Collaborative would recognise practitioner- and lived-experience-generated evidence, including NTV's own national member surveys and Men's Referral Service practice data and the practice knowledge held by Aboriginal community-controlled, LGBTQIA+, culturally and racially marginalised, and disability services, as a legitimate and currently underutilised component of the national evidence base</w:t>
      </w:r>
      <w:proofErr w:type="gramStart"/>
      <w:r>
        <w:t>. ,</w:t>
      </w:r>
      <w:proofErr w:type="gramEnd"/>
      <w:r>
        <w:t xml:space="preserve">  </w:t>
      </w:r>
    </w:p>
    <w:p w14:paraId="0D5A9008" w14:textId="77777777" w:rsidR="00222D66" w:rsidRDefault="00222D66" w:rsidP="00222D66">
      <w:r>
        <w:t>18.</w:t>
      </w:r>
      <w:r>
        <w:tab/>
        <w:t xml:space="preserve">Fund a dedicated, cross-sectional national perpetration prevalence study, analogous to the Personal Safety Survey, building on the methodology developed through the current NSW trial, including codesign with intersectional lived experience, as a named and regularly repeated initiative. </w:t>
      </w:r>
    </w:p>
    <w:p w14:paraId="66543EC6" w14:textId="77777777" w:rsidR="00222D66" w:rsidRDefault="00222D66" w:rsidP="00222D66">
      <w:r>
        <w:t>19.</w:t>
      </w:r>
      <w:r>
        <w:tab/>
        <w:t xml:space="preserve">Fund the Criminal Justice Data Asset (CJDA) as a priority investment, so it can be made accessible to researchers and policy analysts in 2026–27, and work with the ABS to incorporate diversion and court-mandated program data into it over time.  </w:t>
      </w:r>
    </w:p>
    <w:p w14:paraId="48F910CA" w14:textId="77777777" w:rsidR="00222D66" w:rsidRDefault="00222D66" w:rsidP="00222D66">
      <w:r>
        <w:t>20.</w:t>
      </w:r>
      <w:r>
        <w:tab/>
        <w:t xml:space="preserve">Mandate consistent national protection order reporting through the National Domestic Violence Order Scheme, with the Australian Institute for Health and Wellbeing as the national collation body and a clear implementation timeline. </w:t>
      </w:r>
    </w:p>
    <w:p w14:paraId="241DC0FE" w14:textId="77777777" w:rsidR="00222D66" w:rsidRDefault="00222D66" w:rsidP="00222D66">
      <w:r>
        <w:t>21.</w:t>
      </w:r>
      <w:r>
        <w:tab/>
        <w:t>Government should commit to publishing all evaluations, including those undertaken of projects funded under the Innovative Perpetrator Response Fund (due to the Commonwealth in August 2026), and mandate consistent national data standards for program participation and outcomes reporting as a condition of future jurisdictional funding, so that lessons can be shared, progress compared across jurisdictions, and projects continually developed and improved.</w:t>
      </w:r>
    </w:p>
    <w:p w14:paraId="19AAB746" w14:textId="44E728B3" w:rsidR="00222D66" w:rsidRPr="00222D66" w:rsidRDefault="00222D66" w:rsidP="00222D66">
      <w:pPr>
        <w:rPr>
          <w:b/>
          <w:bCs/>
        </w:rPr>
      </w:pPr>
      <w:r w:rsidRPr="00222D66">
        <w:rPr>
          <w:b/>
          <w:bCs/>
        </w:rPr>
        <w:t>Feedback for Priority Area 5: System Integration and Workforce</w:t>
      </w:r>
    </w:p>
    <w:p w14:paraId="1605ED94" w14:textId="2481912A" w:rsidR="00222D66" w:rsidRDefault="00222D66" w:rsidP="00222D66">
      <w:r>
        <w:t>13.</w:t>
      </w:r>
      <w:r>
        <w:tab/>
        <w:t xml:space="preserve">A whole-of-government ""web of accountability"" model, adapted from Victoria's Family Violence Reform Rolling Action Plan, with named cross-portfolio responsibility across all 18 relevant federal departments and agencies, a clear Commonwealth role in coordinating this with state and territory efforts—recognising that violence does not </w:t>
      </w:r>
      <w:r>
        <w:lastRenderedPageBreak/>
        <w:t xml:space="preserve">respect jurisdictional boundaries even when funding and service systems do—and shared progress measures so implementation, not just commitment, can be tracked. </w:t>
      </w:r>
    </w:p>
    <w:p w14:paraId="7C77F238" w14:textId="77777777" w:rsidR="00222D66" w:rsidRDefault="00222D66" w:rsidP="00222D66">
      <w:r>
        <w:t>14.</w:t>
      </w:r>
      <w:r>
        <w:tab/>
        <w:t>A program-level fiscal strategy that supports planning, monitoring and evaluation of the whole-of-government response, spanning the life of the plan, mapping all government-funded programs relevant to ending violence, including in non-traditional portfolios, and publicly reporting investment against actual programs rather than the four-pillar (prevention/early intervention/response/recovery) structure, with dedicated funding lines in each relevant department made publicly visible. This is a request for visibility over where funding goes and what it is achieving at a program level, not for activity-level monitoring of individual services' day-to-day operations. Given the Commonwealth's unique position to coordinate this across state and territory boundaries, a shared reporting framework should be established so implementation, not just commitment, can be tracked. The need for this is not abstract: this submission has already shown that government does not currently reconcile its own headline investment figures against its own itemised reporting, nor derive a single national total from its own consolidated report, a transparency gap this ask is designed to close.66</w:t>
      </w:r>
    </w:p>
    <w:p w14:paraId="20945C09" w14:textId="77777777" w:rsidR="00222D66" w:rsidRDefault="00222D66" w:rsidP="00222D66">
      <w:r>
        <w:t>15.</w:t>
      </w:r>
      <w:r>
        <w:tab/>
        <w:t xml:space="preserve">DFV-proofing of major policy decisions, modelled on existing gender impact assessment requirements, for housing, social security, immigration, employment and family law. </w:t>
      </w:r>
    </w:p>
    <w:p w14:paraId="769B8B53" w14:textId="77777777" w:rsidR="00222D66" w:rsidRDefault="00222D66" w:rsidP="00222D66">
      <w:r>
        <w:t>16.</w:t>
      </w:r>
      <w:r>
        <w:tab/>
        <w:t xml:space="preserve">Close the gaps that let systems be weaponised against victim-survivors, by funding and timetabling full implementation of the National Domestic Violence Order Scheme's real-time information-sharing capability; working with states and territories to harmonise legal definitions of DFV and related order access, application and enforcement processes — closing gaps such as Tasmania's restriction of family violence protections to intimate-partner relationships meeting a 'significant relationship' threshold — leaving those outside it, including many young people in dating relationships, without access to the same protective order framework available in other jurisdictions;  and extending the current Commonwealth systems-abuse audit and Safety by Design principles beyond their initial child support, social security and tax focus, paired with universal training for police and frontline decision-makers to recognise and avoid misidentifying victim-survivors as primary perpetrators. </w:t>
      </w:r>
    </w:p>
    <w:p w14:paraId="483CE8FC" w14:textId="77777777" w:rsidR="00222D66" w:rsidRDefault="00222D66" w:rsidP="00222D66">
      <w:r>
        <w:t>12.</w:t>
      </w:r>
      <w:r>
        <w:tab/>
        <w:t>We recommend the Australian Government, through the Second Action Plan, commit to a National Domestic, Family and Sexual Violence Workforce Strategy by the release of the Federal Budget 2027-28, in partnership with the specialist sector that works with men who have used DFV, with six priorities:</w:t>
      </w:r>
    </w:p>
    <w:p w14:paraId="63C2F2DF" w14:textId="77777777" w:rsidR="00222D66" w:rsidRDefault="00222D66" w:rsidP="00222D66">
      <w:r>
        <w:t>•</w:t>
      </w:r>
      <w:r>
        <w:tab/>
        <w:t>Build and retain the specialist workforce, including fair compensation, robust supervision, leadership development and psychologically safe workplaces.</w:t>
      </w:r>
    </w:p>
    <w:p w14:paraId="48EC415C" w14:textId="77777777" w:rsidR="00222D66" w:rsidRDefault="00222D66" w:rsidP="00222D66">
      <w:r>
        <w:lastRenderedPageBreak/>
        <w:t>•</w:t>
      </w:r>
      <w:r>
        <w:tab/>
        <w:t>Formally recognise specialist practice with men who have perpetrated DFV as a distinct, highly skilled profession.</w:t>
      </w:r>
    </w:p>
    <w:p w14:paraId="2A9432ED" w14:textId="77777777" w:rsidR="00222D66" w:rsidRDefault="00222D66" w:rsidP="00222D66">
      <w:r>
        <w:t>•</w:t>
      </w:r>
      <w:r>
        <w:tab/>
        <w:t>Establish a national workforce architecture to sustain changes.</w:t>
      </w:r>
    </w:p>
    <w:p w14:paraId="12727309" w14:textId="77777777" w:rsidR="00222D66" w:rsidRDefault="00222D66" w:rsidP="00222D66">
      <w:r>
        <w:t>•</w:t>
      </w:r>
      <w:r>
        <w:tab/>
        <w:t>Strengthen recruitment pathways from universities, vocational education and feeder professions (health, mental health, AOD, justice, housing, child protection).</w:t>
      </w:r>
    </w:p>
    <w:p w14:paraId="4BB3D7F1" w14:textId="77777777" w:rsidR="00222D66" w:rsidRDefault="00222D66" w:rsidP="00222D66">
      <w:r>
        <w:t>•</w:t>
      </w:r>
      <w:r>
        <w:tab/>
        <w:t>Build system-wide capability, with targeted investment in Aboriginal and Torres Strait Islander workforces, multicultural organisations, and regional/rural practitioners.</w:t>
      </w:r>
    </w:p>
    <w:p w14:paraId="34BDE017" w14:textId="5F41FAB7" w:rsidR="00222D66" w:rsidRPr="00222D66" w:rsidRDefault="00222D66" w:rsidP="00222D66">
      <w:r>
        <w:t>•</w:t>
      </w:r>
      <w:r>
        <w:tab/>
        <w:t>Empower States and Territories to prioritise workforce through National Partnership Agreements.51</w:t>
      </w:r>
    </w:p>
    <w:sectPr w:rsidR="00222D66" w:rsidRPr="00222D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66"/>
    <w:rsid w:val="00022A23"/>
    <w:rsid w:val="00222D66"/>
    <w:rsid w:val="0023679E"/>
    <w:rsid w:val="00CE1F7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40DDE"/>
  <w15:chartTrackingRefBased/>
  <w15:docId w15:val="{C61CD34A-6732-4838-97AB-3FC89C19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D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D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D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D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D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D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D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D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D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D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D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D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D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D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D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D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D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D66"/>
    <w:rPr>
      <w:rFonts w:eastAsiaTheme="majorEastAsia" w:cstheme="majorBidi"/>
      <w:color w:val="272727" w:themeColor="text1" w:themeTint="D8"/>
    </w:rPr>
  </w:style>
  <w:style w:type="paragraph" w:styleId="Title">
    <w:name w:val="Title"/>
    <w:basedOn w:val="Normal"/>
    <w:next w:val="Normal"/>
    <w:link w:val="TitleChar"/>
    <w:uiPriority w:val="10"/>
    <w:qFormat/>
    <w:rsid w:val="00222D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D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D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D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D66"/>
    <w:pPr>
      <w:spacing w:before="160"/>
      <w:jc w:val="center"/>
    </w:pPr>
    <w:rPr>
      <w:i/>
      <w:iCs/>
      <w:color w:val="404040" w:themeColor="text1" w:themeTint="BF"/>
    </w:rPr>
  </w:style>
  <w:style w:type="character" w:customStyle="1" w:styleId="QuoteChar">
    <w:name w:val="Quote Char"/>
    <w:basedOn w:val="DefaultParagraphFont"/>
    <w:link w:val="Quote"/>
    <w:uiPriority w:val="29"/>
    <w:rsid w:val="00222D66"/>
    <w:rPr>
      <w:i/>
      <w:iCs/>
      <w:color w:val="404040" w:themeColor="text1" w:themeTint="BF"/>
    </w:rPr>
  </w:style>
  <w:style w:type="paragraph" w:styleId="ListParagraph">
    <w:name w:val="List Paragraph"/>
    <w:basedOn w:val="Normal"/>
    <w:uiPriority w:val="34"/>
    <w:qFormat/>
    <w:rsid w:val="00222D66"/>
    <w:pPr>
      <w:ind w:left="720"/>
      <w:contextualSpacing/>
    </w:pPr>
  </w:style>
  <w:style w:type="character" w:styleId="IntenseEmphasis">
    <w:name w:val="Intense Emphasis"/>
    <w:basedOn w:val="DefaultParagraphFont"/>
    <w:uiPriority w:val="21"/>
    <w:qFormat/>
    <w:rsid w:val="00222D66"/>
    <w:rPr>
      <w:i/>
      <w:iCs/>
      <w:color w:val="0F4761" w:themeColor="accent1" w:themeShade="BF"/>
    </w:rPr>
  </w:style>
  <w:style w:type="paragraph" w:styleId="IntenseQuote">
    <w:name w:val="Intense Quote"/>
    <w:basedOn w:val="Normal"/>
    <w:next w:val="Normal"/>
    <w:link w:val="IntenseQuoteChar"/>
    <w:uiPriority w:val="30"/>
    <w:qFormat/>
    <w:rsid w:val="00222D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D66"/>
    <w:rPr>
      <w:i/>
      <w:iCs/>
      <w:color w:val="0F4761" w:themeColor="accent1" w:themeShade="BF"/>
    </w:rPr>
  </w:style>
  <w:style w:type="character" w:styleId="IntenseReference">
    <w:name w:val="Intense Reference"/>
    <w:basedOn w:val="DefaultParagraphFont"/>
    <w:uiPriority w:val="32"/>
    <w:qFormat/>
    <w:rsid w:val="00222D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45C26C-170E-4FA3-95B7-0749BA10129F}"/>
</file>

<file path=customXml/itemProps2.xml><?xml version="1.0" encoding="utf-8"?>
<ds:datastoreItem xmlns:ds="http://schemas.openxmlformats.org/officeDocument/2006/customXml" ds:itemID="{CF492FE3-DF20-4A30-B2E3-F5EAB8423635}"/>
</file>

<file path=customXml/itemProps3.xml><?xml version="1.0" encoding="utf-8"?>
<ds:datastoreItem xmlns:ds="http://schemas.openxmlformats.org/officeDocument/2006/customXml" ds:itemID="{5A1BA30C-747E-4119-B984-9F650D6BB5F5}"/>
</file>

<file path=docProps/app.xml><?xml version="1.0" encoding="utf-8"?>
<Properties xmlns="http://schemas.openxmlformats.org/officeDocument/2006/extended-properties" xmlns:vt="http://schemas.openxmlformats.org/officeDocument/2006/docPropsVTypes">
  <Template>Normal.dotm</Template>
  <TotalTime>2</TotalTime>
  <Pages>5</Pages>
  <Words>1806</Words>
  <Characters>10299</Characters>
  <Application>Microsoft Office Word</Application>
  <DocSecurity>0</DocSecurity>
  <Lines>85</Lines>
  <Paragraphs>24</Paragraphs>
  <ScaleCrop>false</ScaleCrop>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2026-09-07T06:13:00Z</dcterms:created>
  <dcterms:modified xsi:type="dcterms:W3CDTF">2026-09-07T06:15:00Z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