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C94EB" w14:textId="547BC657" w:rsidR="0023679E" w:rsidRDefault="008F0BE6">
      <w:pPr>
        <w:rPr>
          <w:b/>
          <w:bCs/>
        </w:rPr>
      </w:pPr>
      <w:r w:rsidRPr="008F0BE6">
        <w:rPr>
          <w:b/>
          <w:bCs/>
        </w:rPr>
        <w:t>Northern Territory Primary Health Network</w:t>
      </w:r>
    </w:p>
    <w:p w14:paraId="3B34F85B" w14:textId="074000CD" w:rsidR="008F0BE6" w:rsidRDefault="008F0BE6">
      <w:pPr>
        <w:rPr>
          <w:b/>
          <w:bCs/>
        </w:rPr>
      </w:pPr>
      <w:r w:rsidRPr="008F0BE6">
        <w:rPr>
          <w:b/>
          <w:bCs/>
        </w:rPr>
        <w:t>Feedback for Priority Area 1: Victim-survivors</w:t>
      </w:r>
    </w:p>
    <w:p w14:paraId="6FE86365" w14:textId="48FDCFA7" w:rsidR="008F0BE6" w:rsidRDefault="008F0BE6" w:rsidP="008F0BE6">
      <w:r>
        <w:t>Q1.  What service or system responses would make the biggest difference to victim-survivors' safety, wellbeing, healing and recovery?</w:t>
      </w:r>
    </w:p>
    <w:p w14:paraId="413A08CF" w14:textId="77777777" w:rsidR="008F0BE6" w:rsidRDefault="008F0BE6" w:rsidP="008F0BE6">
      <w:r>
        <w:t xml:space="preserve">The paper's commitment to “whole of system support, response, healing and recovery” should be the organising principle of the Second Action Plan; the Big Rivers Supporting Recovery model shows what it looks like in practice. ACCHO-led care coordination and trauma-informed mental health care, delivered as a whole-of-family response that recognises children as </w:t>
      </w:r>
      <w:proofErr w:type="gramStart"/>
      <w:r>
        <w:t>victim-survivors in their own right, with</w:t>
      </w:r>
      <w:proofErr w:type="gramEnd"/>
      <w:r>
        <w:t xml:space="preserve"> up to two years of free support and a single point of contact.</w:t>
      </w:r>
    </w:p>
    <w:p w14:paraId="6A70D56C" w14:textId="77777777" w:rsidR="008F0BE6" w:rsidRDefault="008F0BE6" w:rsidP="008F0BE6">
      <w:r>
        <w:t>For the NT, authentically co-design and commissioning with collective agreement, with community need and delivery capacity are focal points, over competitive tendering.  This approach demonstrates that moving away from competitive models toward collective action creates a foundation for true cultural consideration in Primary health care, and platform for community and individual outcomes. This development method ensures long-term sustainability for DFSV challenges (at times funding dependant).  Furthermore, this method provides a replicable framework that is easily applied to other regions to achieve similar authentic, community-led health outcomes.</w:t>
      </w:r>
    </w:p>
    <w:p w14:paraId="05B8837A" w14:textId="77777777" w:rsidR="008F0BE6" w:rsidRDefault="008F0BE6" w:rsidP="008F0BE6">
      <w:r>
        <w:t xml:space="preserve">The biggest difference the Second Action Plan can make is to embed and scale this model rather than treat it as a time-limited pilot. Recognising PHNs have a critical role in the development, delivery in collaboration and coordination of Primary Heath Care; a recognised gap in other DFSV focused initiatives.  </w:t>
      </w:r>
    </w:p>
    <w:p w14:paraId="1298A0BC" w14:textId="77777777" w:rsidR="008F0BE6" w:rsidRDefault="008F0BE6" w:rsidP="008F0BE6"/>
    <w:p w14:paraId="045B15BB" w14:textId="77777777" w:rsidR="008F0BE6" w:rsidRDefault="008F0BE6" w:rsidP="008F0BE6">
      <w:r>
        <w:t>Q2.  What helps people access support earlier, and what barriers prevent people from seeking help?</w:t>
      </w:r>
    </w:p>
    <w:p w14:paraId="355D5AB6" w14:textId="77777777" w:rsidR="008F0BE6" w:rsidRDefault="008F0BE6" w:rsidP="008F0BE6">
      <w:r>
        <w:t xml:space="preserve">The barriers are well evidenced: racism, misalignment to cultural needs and culturally appropriate practices, victim misidentification, poor coercive control responses and fear of child removal suppress formal help-seeking, and almost all women killed by an intimate partner sought help without receiving the appropriate support or protection that could have saved their lives. What enables earlier access is the opposite of these conditions, opportunistic moments in universal services where safety is felt. A clinic visit, a child health check, an antenatal appointment: these are the moments disclosure </w:t>
      </w:r>
      <w:proofErr w:type="gramStart"/>
      <w:r>
        <w:t>actually happen</w:t>
      </w:r>
      <w:proofErr w:type="gramEnd"/>
      <w:r>
        <w:t>, provided the workforce is equipped to recognise it, respond safely and connect the person to available support. The community co-design method and Local Link model builds precisely this capability, and the Second Action Plan should invest in it as a primary access strategy, supporting true codesign, not an adjunct.</w:t>
      </w:r>
    </w:p>
    <w:p w14:paraId="596DBF4C" w14:textId="77777777" w:rsidR="008F0BE6" w:rsidRDefault="008F0BE6" w:rsidP="008F0BE6"/>
    <w:p w14:paraId="6250B5E0" w14:textId="77777777" w:rsidR="008F0BE6" w:rsidRDefault="008F0BE6" w:rsidP="008F0BE6">
      <w:r>
        <w:t>Q3.  What current or emerging issues should the Second Action Plan address, including coercive control and technology-facilitated abuse?</w:t>
      </w:r>
    </w:p>
    <w:p w14:paraId="4D5E4876" w14:textId="77777777" w:rsidR="008F0BE6" w:rsidRDefault="008F0BE6" w:rsidP="008F0BE6">
      <w:r>
        <w:t>Coercive control and technology-facilitated abuse present differently in the Territory. The NT has areas of limited to no technological infrastructure and accessibly to services that support use of technology. Nationally developed initiatives that centre around technology are also not culturally sufficient for Aboriginal and Torres Strait islander communities, where English is a second language.  This impacts useability of some technologies and limits connectivity, ee know that use of technology to some Aboriginal and Torres Strait Islander people can mean shared devices in overcrowded housing. Remote community contexts change both how abuse is perpetrated and how safety planning must work; standard advice built for metropolitan settings can be unworkable or unsafe. Systems abuse across financial and justice systems must also be recognised as a coercive control direction. The Second Action Plan should require that responses to these emerging harms are designed for remote and very remote realities from the outset, not adapted afterwards.</w:t>
      </w:r>
    </w:p>
    <w:p w14:paraId="350EBAE6" w14:textId="77777777" w:rsidR="008F0BE6" w:rsidRDefault="008F0BE6" w:rsidP="008F0BE6"/>
    <w:p w14:paraId="1124CFD7" w14:textId="77777777" w:rsidR="008F0BE6" w:rsidRDefault="008F0BE6" w:rsidP="008F0BE6">
      <w:r>
        <w:t>Q4.  What gaps remain in addressing the needs of diverse communities, including Aboriginal and Torres Strait Islander people?</w:t>
      </w:r>
    </w:p>
    <w:p w14:paraId="5C86818B" w14:textId="3B3DB2B6" w:rsidR="008F0BE6" w:rsidRDefault="008F0BE6" w:rsidP="008F0BE6">
      <w:r>
        <w:t xml:space="preserve">The practical gaps are persistent: interpreter access, bilingual and bicultural workers, and remote service reach, funding disparities that do not reflect the genuine costs of remote area infrastructure, service delivery and living.  Beyond these, the Second Action Plan must address the conditions surrounding violence, resources to manage challenges that alcohol and other drug present, mental health and trauma; responses that support the whole family and whole community rather than individuals in isolation; and support for young men and women from an early age around healthy relationships. The social determinants, intergenerational trauma, housing, overcrowding and poverty sit underneath all of it and cannot be quarantined from DFSV policy. Above all, gaps close fastest where communities lead self-determination in developing responses, and sustained investment in community capability building, these must be </w:t>
      </w:r>
      <w:proofErr w:type="gramStart"/>
      <w:r>
        <w:t>design</w:t>
      </w:r>
      <w:proofErr w:type="gramEnd"/>
      <w:r>
        <w:t xml:space="preserve"> principles rather than aspirations.</w:t>
      </w:r>
    </w:p>
    <w:p w14:paraId="36E46EEE" w14:textId="6C083409" w:rsidR="008F0BE6" w:rsidRDefault="008F0BE6" w:rsidP="008F0BE6">
      <w:pPr>
        <w:rPr>
          <w:b/>
          <w:bCs/>
        </w:rPr>
      </w:pPr>
      <w:r w:rsidRPr="008F0BE6">
        <w:rPr>
          <w:b/>
          <w:bCs/>
        </w:rPr>
        <w:t>Feedback for Priority Area 2: Prevention and early intervention</w:t>
      </w:r>
    </w:p>
    <w:p w14:paraId="0CAB2A24" w14:textId="0D687EA8" w:rsidR="008F0BE6" w:rsidRDefault="008F0BE6" w:rsidP="008F0BE6">
      <w:r>
        <w:t>Q5.  What would make the biggest difference in preventing and ultimately ending violence?</w:t>
      </w:r>
    </w:p>
    <w:p w14:paraId="1D7C6160" w14:textId="77777777" w:rsidR="008F0BE6" w:rsidRDefault="008F0BE6" w:rsidP="008F0BE6">
      <w:r>
        <w:t xml:space="preserve">Addressing the substantive influences the evidence identifies, harmful substance use, gambling and adverse childhood experience – alongside the gendered drivers. People who use violence are frequently victim-survivors themselves, or carry cognitive </w:t>
      </w:r>
      <w:r>
        <w:lastRenderedPageBreak/>
        <w:t>impairment, mental health or AOD comorbidities. In many cases violence is the symptom of these unmanaged underlying needs, not their source. Prevention that engages only with attitudes or silos topical interventions, while leaving addiction, trauma and mental ill-health under resourced, treats the smoke and leaves the fire burning. The Second Action Plan should fund prevention and early intervention that reaches these contributing factors directly, allowing for adaptability ensure a place-based responses.</w:t>
      </w:r>
    </w:p>
    <w:p w14:paraId="47B05F7D" w14:textId="77777777" w:rsidR="008F0BE6" w:rsidRDefault="008F0BE6" w:rsidP="008F0BE6"/>
    <w:p w14:paraId="544C206A" w14:textId="77777777" w:rsidR="008F0BE6" w:rsidRDefault="008F0BE6" w:rsidP="008F0BE6">
      <w:r>
        <w:t>Q6.  How can existing efforts to prevent violence be strengthened or built upon?</w:t>
      </w:r>
    </w:p>
    <w:p w14:paraId="078472D4" w14:textId="77777777" w:rsidR="008F0BE6" w:rsidRDefault="008F0BE6" w:rsidP="008F0BE6">
      <w:r>
        <w:t xml:space="preserve">The increased visibility and public discussion of violence is genuine progress, although visibility must be met with strengths-based language and clear, safe pathways to accessible help. Awareness without a pathway produces fear and shame, not disclosure. The strongest build is in universal settings: education of young people; and screening and support offered to entire families through early childhood services, schools, primary care and youth health clinics – places families already attend and trust. The Big Rivers model demonstrates this in practice, built around community-identified priorities of education, awareness and empowerment alongside clinical care. Further to this, the transformative approach to FDSV commissioning and project development the NT adopted for the East Arnhem region; an area that sees significant challenges regarding service access due to its location. To address these needs, a model of collective action was implemented, replacing traditional competitive tendering with a collaborative framework designed to foster authentic relationships and deliver superior community outcomes. This is an example of how NT PHN strengthen existing efforts and easily modelled across any other jurisdiction. </w:t>
      </w:r>
    </w:p>
    <w:p w14:paraId="7F35ED34" w14:textId="77777777" w:rsidR="008F0BE6" w:rsidRDefault="008F0BE6" w:rsidP="008F0BE6"/>
    <w:p w14:paraId="52D9DAF3" w14:textId="77777777" w:rsidR="008F0BE6" w:rsidRDefault="008F0BE6" w:rsidP="008F0BE6">
      <w:r>
        <w:t>Q8.  What prevention and early intervention approaches appear most promising or effective, and what is needed to strengthen or expand them?</w:t>
      </w:r>
    </w:p>
    <w:p w14:paraId="0AB18E3F" w14:textId="77777777" w:rsidR="008F0BE6" w:rsidRDefault="008F0BE6" w:rsidP="008F0BE6">
      <w:r>
        <w:t xml:space="preserve">Early intervention in universal settings, where violence can be recognised and responded to at the point people already present, is the most promising approach available. The Local Link model is this mechanism in operation: a funded system integrator building Primary Health Care facilities and workforce capability across the Central Australian region. What is needed to complete it is the capacity to connect people into the right supports and provide safety planning </w:t>
      </w:r>
      <w:proofErr w:type="gramStart"/>
      <w:r>
        <w:t>at the moment</w:t>
      </w:r>
      <w:proofErr w:type="gramEnd"/>
      <w:r>
        <w:t xml:space="preserve"> of disclosure, so that the act of asking – and of recognising the issue in oneself – carries the lowest possible barrier.</w:t>
      </w:r>
    </w:p>
    <w:p w14:paraId="58AAC4ED" w14:textId="77777777" w:rsidR="008F0BE6" w:rsidRDefault="008F0BE6" w:rsidP="008F0BE6"/>
    <w:p w14:paraId="2A51A139" w14:textId="77777777" w:rsidR="008F0BE6" w:rsidRDefault="008F0BE6" w:rsidP="008F0BE6">
      <w:r>
        <w:lastRenderedPageBreak/>
        <w:t>Q9.  What emerging issues should the Second Action Plan address in relation to primary prevention and early intervention?</w:t>
      </w:r>
    </w:p>
    <w:p w14:paraId="3ABF7AF7" w14:textId="3ACAB402" w:rsidR="008F0BE6" w:rsidRDefault="008F0BE6" w:rsidP="008F0BE6">
      <w:r>
        <w:t>The Plan should recognise that prevention is part of an integrated response, not a standalone activity, consistent with the paper's own observation that prevention is rarely a sole-focus role and is usually practised in integrated ways. The funding architecture should follow invest in place-based models that hold prevention, early intervention, response and recovery together in one local system. The PHN-funded pilots in the NT are working examples of exactly this design.</w:t>
      </w:r>
    </w:p>
    <w:p w14:paraId="44A9A11B" w14:textId="68DE8601" w:rsidR="008F0BE6" w:rsidRDefault="008F0BE6" w:rsidP="008F0BE6">
      <w:pPr>
        <w:rPr>
          <w:b/>
          <w:bCs/>
        </w:rPr>
      </w:pPr>
      <w:r w:rsidRPr="008F0BE6">
        <w:rPr>
          <w:b/>
          <w:bCs/>
        </w:rPr>
        <w:t>Feedback for Priority Area 3: Children and young people in their own right</w:t>
      </w:r>
    </w:p>
    <w:p w14:paraId="6586AF0C" w14:textId="5E3292DB" w:rsidR="008F0BE6" w:rsidRDefault="008F0BE6" w:rsidP="008F0BE6">
      <w:r>
        <w:t>The responses provided in this submission have been generated from evidence-based knowledge developed from program and service operations and strategic planning for our funded pilots.  As our direct contact with children and young people is limited, we have not responded as in depth as other priority areas.</w:t>
      </w:r>
    </w:p>
    <w:p w14:paraId="549DF872" w14:textId="5538C774" w:rsidR="008F0BE6" w:rsidRDefault="008F0BE6" w:rsidP="008F0BE6">
      <w:r>
        <w:t xml:space="preserve">It is necessary to highlight that the NT is at a critical status for the safety of children and young people.  Every effort should be made to maximise the available services and commissioning services to provide integrated support. providing access where traditional ideals of help seeking are extended to meet them where they are.  </w:t>
      </w:r>
    </w:p>
    <w:p w14:paraId="786F9BAB" w14:textId="00F17EDF" w:rsidR="008F0BE6" w:rsidRDefault="008F0BE6" w:rsidP="008F0BE6">
      <w:r>
        <w:t xml:space="preserve">We know that primary health is an access point that is not yet extensively used to support and direct children and young people to available and targeted services. PHNs </w:t>
      </w:r>
      <w:proofErr w:type="gramStart"/>
      <w:r>
        <w:t>are in a position to</w:t>
      </w:r>
      <w:proofErr w:type="gramEnd"/>
      <w:r>
        <w:t xml:space="preserve"> expand this access and contribute meaningfully to the safety of children and young people.  The second action plan should not limit access areas and should ensure an integrated approach to support and help seeking.</w:t>
      </w:r>
    </w:p>
    <w:p w14:paraId="42AAF79C" w14:textId="58F87B0C" w:rsidR="008F0BE6" w:rsidRDefault="008F0BE6" w:rsidP="008F0BE6">
      <w:pPr>
        <w:rPr>
          <w:b/>
          <w:bCs/>
        </w:rPr>
      </w:pPr>
      <w:r w:rsidRPr="008F0BE6">
        <w:rPr>
          <w:b/>
          <w:bCs/>
        </w:rPr>
        <w:t>Feedback for Priority Area 4: People who use violence</w:t>
      </w:r>
    </w:p>
    <w:p w14:paraId="64B1AAA7" w14:textId="7971E64C" w:rsidR="008F0BE6" w:rsidRDefault="008F0BE6" w:rsidP="008F0BE6">
      <w:r>
        <w:t>Q15.  What would make the biggest difference in preventing and responding earlier to the use of violence?</w:t>
      </w:r>
    </w:p>
    <w:p w14:paraId="0EECAA27" w14:textId="77777777" w:rsidR="008F0BE6" w:rsidRDefault="008F0BE6" w:rsidP="008F0BE6">
      <w:r>
        <w:t xml:space="preserve">Being able to have the conversation wherever a person using violence presents – a GP, an ACCHO clinic, an AOD or mental health service – and to direct them into support with a genuine understanding of their needs for help. Most men who use violence never reach a formal behaviour change program; universal health settings are the trusted entry points where earlier identification is realistic. In the NT, the Local Link is building workforce confidence to open that conversation and respond safely without collusion – capability that should be standard across primary care nationally. </w:t>
      </w:r>
    </w:p>
    <w:p w14:paraId="284859B5" w14:textId="77777777" w:rsidR="008F0BE6" w:rsidRDefault="008F0BE6" w:rsidP="008F0BE6"/>
    <w:p w14:paraId="7AA64FCA" w14:textId="77777777" w:rsidR="008F0BE6" w:rsidRDefault="008F0BE6" w:rsidP="008F0BE6">
      <w:r>
        <w:t>Q16.  How can services and communities better recognise and respond safely to people using violence?</w:t>
      </w:r>
    </w:p>
    <w:p w14:paraId="594FECD2" w14:textId="77777777" w:rsidR="008F0BE6" w:rsidRDefault="008F0BE6" w:rsidP="008F0BE6">
      <w:r>
        <w:lastRenderedPageBreak/>
        <w:t>Response design must start from the complexities of small communities; the victim-survivor and the person using violence frequently attend the same health service and may be seen by the same practitioners. Safety protocols, gender-matched practitioners where culturally required, and deliberate confidentiality design are not refinements to a service model, in the NT they are preconditions for anyone disclosing at all. The Second Action Plan should require these considerations in the design of any response operating in small, remote or highly connected communities.</w:t>
      </w:r>
    </w:p>
    <w:p w14:paraId="6A3D189E" w14:textId="77777777" w:rsidR="008F0BE6" w:rsidRDefault="008F0BE6" w:rsidP="008F0BE6"/>
    <w:p w14:paraId="44E6478E" w14:textId="77777777" w:rsidR="008F0BE6" w:rsidRDefault="008F0BE6" w:rsidP="008F0BE6">
      <w:r>
        <w:t>Q17.  What approaches are most effective in supporting people who use violence to take accountability and change behaviour?</w:t>
      </w:r>
    </w:p>
    <w:p w14:paraId="2F990FB3" w14:textId="1B5726A2" w:rsidR="008F0BE6" w:rsidRDefault="008F0BE6" w:rsidP="008F0BE6">
      <w:r>
        <w:t xml:space="preserve">Conventional men's behaviour change program coverage outside urban centres is extremely limited and will remain so given workforce realities. Community-led healing and transformative justice approaches, identified as promising in the consultation paper, align with NT community preferences and address the structural drivers of harm rather than individual behaviour alone. These should be resourced as legitimate accountability and behaviour change </w:t>
      </w:r>
      <w:proofErr w:type="gramStart"/>
      <w:r>
        <w:t>pathways in their own right, not</w:t>
      </w:r>
      <w:proofErr w:type="gramEnd"/>
      <w:r>
        <w:t xml:space="preserve"> as interim substitutes while conventional programs are awaited. Additionally, commitment to allow for diversity in service design and delivery to meet the needs of remote areas who have a level of complexity that is not matched in urban areas, and do not have as high </w:t>
      </w:r>
      <w:proofErr w:type="gramStart"/>
      <w:r>
        <w:t>a  population</w:t>
      </w:r>
      <w:proofErr w:type="gramEnd"/>
      <w:r>
        <w:t xml:space="preserve"> of Aboriginal and Torres Strait Islander people.</w:t>
      </w:r>
    </w:p>
    <w:p w14:paraId="19C24F3F" w14:textId="26EC1571" w:rsidR="008F0BE6" w:rsidRDefault="008F0BE6" w:rsidP="008F0BE6">
      <w:pPr>
        <w:rPr>
          <w:b/>
          <w:bCs/>
        </w:rPr>
      </w:pPr>
      <w:r w:rsidRPr="008F0BE6">
        <w:rPr>
          <w:b/>
          <w:bCs/>
        </w:rPr>
        <w:t>Feedback for Priority Area 5: System Integration and Workforce</w:t>
      </w:r>
    </w:p>
    <w:p w14:paraId="736B4DE5" w14:textId="68237D64" w:rsidR="008F0BE6" w:rsidRDefault="008F0BE6" w:rsidP="008F0BE6">
      <w:r>
        <w:t>Q19.  What would make the biggest difference in creating a more coordinated and connected system response?</w:t>
      </w:r>
    </w:p>
    <w:p w14:paraId="76982F7E" w14:textId="77777777" w:rsidR="008F0BE6" w:rsidRDefault="008F0BE6" w:rsidP="008F0BE6">
      <w:r>
        <w:t xml:space="preserve">Connecting the two ends of the continuum. The NT has built recognition-and-referral capability in one region (Central Australia, through the CAWLS Local Link and Top end through youth clinic) and recovery services in another (Big Rivers, through Supporting Recovery) – with no funded pathway between them, and much of the Territory covered by neither.  </w:t>
      </w:r>
    </w:p>
    <w:p w14:paraId="4762E4CB" w14:textId="77777777" w:rsidR="008F0BE6" w:rsidRDefault="008F0BE6" w:rsidP="008F0BE6">
      <w:r>
        <w:t>Additionally, flexibility in commissioning approaches for operational and logistical elements of funders. Collective Co-Design, the core of this initiative is an authentic process adopted by NT PHN. This methodology shifts the focus from competition to cooperation by bringing together relevant regional health and community services to transparently discuss funding scope and guidelines. Service providers are identified through collective agreement based on their local knowledge, capacity, and ability to deliver a comprehensive community response. This community-centric modelling ensures that service development is guided by services with invaluable on-the-ground insights.</w:t>
      </w:r>
    </w:p>
    <w:p w14:paraId="37F00881" w14:textId="77777777" w:rsidR="008F0BE6" w:rsidRDefault="008F0BE6" w:rsidP="008F0BE6">
      <w:r>
        <w:lastRenderedPageBreak/>
        <w:t>The single biggest coordination gain available to the Second Action Plan is to fund both functions Territory-wide and connect them, so a disclosure in any clinic has somewhere to go.</w:t>
      </w:r>
    </w:p>
    <w:p w14:paraId="0E82FEA7" w14:textId="77777777" w:rsidR="008F0BE6" w:rsidRDefault="008F0BE6" w:rsidP="008F0BE6"/>
    <w:p w14:paraId="52701293" w14:textId="77777777" w:rsidR="008F0BE6" w:rsidRDefault="008F0BE6" w:rsidP="008F0BE6">
      <w:r>
        <w:t>Q20.  What workforce capabilities, supports or conditions are most needed?</w:t>
      </w:r>
    </w:p>
    <w:p w14:paraId="30857D4D" w14:textId="77777777" w:rsidR="008F0BE6" w:rsidRDefault="008F0BE6" w:rsidP="008F0BE6">
      <w:r>
        <w:t xml:space="preserve">For small, remote teams: vicarious trauma support and retention strategies, national consistency in training and standards, effective cultural healing and alignment, and embedded navigator roles including bilingual and bicultural workers. Two NT-specific priorities stand out. First, the development of a child-centred workforce – highly lacking in the Territory – so that adult-facing services can genuinely hold a child-centred lens rather than aspire to one. Second, sustained investment in cross-sector capability building; in an environment of high burden and limited resources, integrated, visible funding and requirements for commissioning bodies to work together to achieve results is a must. Thirdly, funding services across a vast geographical landscape with unique and intersecting issues such as social determinants needs to be reviewed. The cost of providing services in remote areas is high and with funding often distributed through underrepresented data, or per head over large geographical areas; this is a method that is not reflective of the true of </w:t>
      </w:r>
      <w:proofErr w:type="gramStart"/>
      <w:r>
        <w:t>cost of service</w:t>
      </w:r>
      <w:proofErr w:type="gramEnd"/>
      <w:r>
        <w:t xml:space="preserve"> delivery.</w:t>
      </w:r>
    </w:p>
    <w:p w14:paraId="0C24BC08" w14:textId="77777777" w:rsidR="008F0BE6" w:rsidRDefault="008F0BE6" w:rsidP="008F0BE6"/>
    <w:p w14:paraId="784E3633" w14:textId="77777777" w:rsidR="008F0BE6" w:rsidRDefault="008F0BE6" w:rsidP="008F0BE6">
      <w:r>
        <w:t>Q21.  What approaches or models appear most effective in improving collaboration, coordination and information sharing?</w:t>
      </w:r>
    </w:p>
    <w:p w14:paraId="6B8244AD" w14:textId="77777777" w:rsidR="008F0BE6" w:rsidRDefault="008F0BE6" w:rsidP="008F0BE6">
      <w:r>
        <w:t>Two tested models: the Local Link system-integrator function, and the Supporting Recovery Local Care Teams. Both show that coordination is built on relationships that take time to establish; a lesson for funding cycles as much as service design. Information sharing between primary care, NT Health, specialist DFSV services, enforcement services, legal services and ACCHOs remains a persistent constraint, where these key stakeholders hold data that do not ‘talk to each other’, creating barriers to collaboration and integrated responses and service delivery. The Second Action Plan should prioritise the enabling frameworks and consent design that let these partners share safely.</w:t>
      </w:r>
    </w:p>
    <w:p w14:paraId="7F918E50" w14:textId="77777777" w:rsidR="008F0BE6" w:rsidRDefault="008F0BE6" w:rsidP="008F0BE6">
      <w:r>
        <w:t xml:space="preserve">Combining this with a genuine review of various funding streams across multiple commissioning bodies, that as they are currently structured, are not complementary and often create their own barriers and silos. Greater expectations of collaboration and funding transparency across commissioning bodies will close gaps and see more efficiency in the use of resources. </w:t>
      </w:r>
    </w:p>
    <w:p w14:paraId="0E0DA1CE" w14:textId="77777777" w:rsidR="008F0BE6" w:rsidRDefault="008F0BE6" w:rsidP="008F0BE6">
      <w:r>
        <w:t xml:space="preserve"> </w:t>
      </w:r>
    </w:p>
    <w:p w14:paraId="3C05105C" w14:textId="77777777" w:rsidR="008F0BE6" w:rsidRDefault="008F0BE6" w:rsidP="008F0BE6">
      <w:r>
        <w:lastRenderedPageBreak/>
        <w:t>Q22.  What supports do specialist and universal services need to provide inclusive, accessible and responsive services?</w:t>
      </w:r>
    </w:p>
    <w:p w14:paraId="29517FED" w14:textId="77777777" w:rsidR="008F0BE6" w:rsidRDefault="008F0BE6" w:rsidP="008F0BE6">
      <w:r>
        <w:t>Integration across systems and services needs to be addressed. Secondary consultation from specialist services into universal services, and targeted support on non-specialist capabilities for universal services: for example, identifying financial abuse and sexual violence. The NT's legal-sector Local Link speaks directly to this gap. With CAWLS as integrator, Central Australian clinics are capacity-built by an organisation that sees the legal and financial dimensions of coercive control daily – including how victim misidentification occurs and why clinic documentation and referral choices matter downstream in police and court processes. This is capability that health-led models typically cannot teach. Far from departing from the national Local Link model, the NT arrangement demonstrates its adaptability – the integrator function can be anchored wherever local expertise and trust sit, which is exactly what makes the model scalable across 31 very different PHN regions. This is mirrored in the collective approach to build workforce capacity and integrated community response in remote East Arnhem area, through collective commissioning coupled with authentic and culturally lead codesign.</w:t>
      </w:r>
    </w:p>
    <w:p w14:paraId="36A56D28" w14:textId="77777777" w:rsidR="008F0BE6" w:rsidRDefault="008F0BE6" w:rsidP="008F0BE6">
      <w:r>
        <w:t>Understanding the practical limitations and barriers of services and designing integration around these is core business for PHNs. For example, understanding that GPs rarely have time to manage a disclosure at the time it is made, led to the development of the local linkage model. For specialist services, in the NT context, issues such as lack of housing and infrastructure to support women in acute crisis leaves victim-survivors with limited options to escape violence when they’re ready to.</w:t>
      </w:r>
    </w:p>
    <w:p w14:paraId="03596B01" w14:textId="77777777" w:rsidR="008F0BE6" w:rsidRDefault="008F0BE6" w:rsidP="008F0BE6"/>
    <w:p w14:paraId="186AC62E" w14:textId="77777777" w:rsidR="008F0BE6" w:rsidRDefault="008F0BE6" w:rsidP="008F0BE6">
      <w:r>
        <w:t>Q23.  What evidence, workforce or system gaps should the Second Action Plan prioritise?</w:t>
      </w:r>
    </w:p>
    <w:p w14:paraId="53418AC2" w14:textId="77777777" w:rsidR="008F0BE6" w:rsidRDefault="008F0BE6" w:rsidP="008F0BE6">
      <w:r>
        <w:t>Data; the NT is under-represented in national surveys. Several NT estimates in the consultation paper's own jurisdictional tables carry standard errors too high for general use.  In the jurisdiction with the country's highest burden; tailored NT and remote data investment, with collection methods appropriate to remote Aboriginal communities, is overdue.  Further to this, data interpretation does support realistic on the ground delivery of services; remote setting needs are not adequately considered with per captor national approach to funding distribution.</w:t>
      </w:r>
    </w:p>
    <w:p w14:paraId="14750939" w14:textId="77777777" w:rsidR="008F0BE6" w:rsidRDefault="008F0BE6" w:rsidP="008F0BE6">
      <w:r>
        <w:t xml:space="preserve">Sustainability: short pilot funding cycles undermine the trust-building, service design and establishment requirements and create barriers to workforce retention. As a prerequisite for effectiveness, this evidences a review of funding cycle structures to make outcomes viable, particularly in Aboriginal community-controlled settings. </w:t>
      </w:r>
    </w:p>
    <w:p w14:paraId="665A63D3" w14:textId="4A0976E8" w:rsidR="008F0BE6" w:rsidRDefault="008F0BE6" w:rsidP="008F0BE6">
      <w:r>
        <w:lastRenderedPageBreak/>
        <w:t>Geography: Remote settings need to be uniquely addressed. Vast geographic settings and challenges with climate and transport have a strong and lasting impact on the ability to deliver effective services to victim-survivors. National models that do not support place-based needs leave significant gaps in service.</w:t>
      </w:r>
    </w:p>
    <w:p w14:paraId="5521EC5B" w14:textId="64E8136C" w:rsidR="008F0BE6" w:rsidRDefault="008F0BE6" w:rsidP="008F0BE6">
      <w:pPr>
        <w:rPr>
          <w:b/>
          <w:bCs/>
        </w:rPr>
      </w:pPr>
      <w:r w:rsidRPr="008F0BE6">
        <w:rPr>
          <w:b/>
          <w:bCs/>
        </w:rPr>
        <w:t>Are there any other actions you think should be a priority to stop family, domestic and sexual violence?</w:t>
      </w:r>
    </w:p>
    <w:p w14:paraId="1CCF8041" w14:textId="18D72E9B" w:rsidR="008F0BE6" w:rsidRDefault="008F0BE6" w:rsidP="008F0BE6">
      <w:r>
        <w:t>Recommendations: recognise the role of primary care in reducing DFSV and provide flexible funding for cross-sector, place-based commissioning</w:t>
      </w:r>
    </w:p>
    <w:p w14:paraId="5F77FD87" w14:textId="77777777" w:rsidR="008F0BE6" w:rsidRDefault="008F0BE6" w:rsidP="008F0BE6">
      <w:r>
        <w:t>The Second Action Plan will be judged on whether it converts evidence into durable capability. In the NT, that capability has been and continues to build across systems and sectors, including for primary care, through the Supporting Primary Care and Supporting Recovery DFSV Pilot Programs. These pilots are funded to 30 June 2028; the Second Action Plan is the vehicle to decide their future well before that date. Allowing them to lapse would discard exactly the trust, relationships and workforce the evidence says take longest to build and matter most and will remove the mechanism to deeper primary care involvement in eradicating DFSV. Consistent with the joint PHN submission, NT PHN recommends that the Second Action Plan:</w:t>
      </w:r>
    </w:p>
    <w:p w14:paraId="1945FB90" w14:textId="77777777" w:rsidR="008F0BE6" w:rsidRDefault="008F0BE6" w:rsidP="008F0BE6">
      <w:r>
        <w:t xml:space="preserve">1. Provide continued, recurrent funding for the NT PHN to support primary care capacity to recognise and respond to DFSV. The Supporting Primary Care DFSV Pilot Program and the Supporting Recovery DFSV Pilot Programs need to move to recurrent funding pathways confirmed well before the 30 June 2028 funding end date. </w:t>
      </w:r>
    </w:p>
    <w:p w14:paraId="2CD07CC9" w14:textId="77777777" w:rsidR="008F0BE6" w:rsidRDefault="008F0BE6" w:rsidP="008F0BE6">
      <w:r>
        <w:t xml:space="preserve">2. Extend funding for universal services – fund the expansion of the existing and working recognition-and-referral capability and recovery services that have been established in universal services to a sufficient degree that all regions of the NT can benefit.  </w:t>
      </w:r>
    </w:p>
    <w:p w14:paraId="554FEAB5" w14:textId="77777777" w:rsidR="008F0BE6" w:rsidRDefault="008F0BE6" w:rsidP="008F0BE6">
      <w:r>
        <w:t>3. Fund commissioners to design place-based approaches rather than prescribing one-size-fits-all models. Provide funding with the flexibility for regional commissioners to design responses with their communities – as the NT pilots demonstrate, the right delivery model differs by place: a community legal service in Central Australia, an ACCHO-led consortium in Big Rivers. Flexible commissioning, local partnership arrangements and community-defined outcome measures are what made both possible.</w:t>
      </w:r>
    </w:p>
    <w:p w14:paraId="75EC0ABA" w14:textId="77777777" w:rsidR="008F0BE6" w:rsidRDefault="008F0BE6" w:rsidP="008F0BE6">
      <w:r>
        <w:t>4. Invest in NT and remote data so that the jurisdiction carrying the highest burden is no longer the least visible in the national evidence base.</w:t>
      </w:r>
    </w:p>
    <w:p w14:paraId="018056F5" w14:textId="56D3DD21" w:rsidR="008F0BE6" w:rsidRPr="008F0BE6" w:rsidRDefault="008F0BE6" w:rsidP="008F0BE6">
      <w:r>
        <w:t>The Territory has shown what works. The Second Action Plan's task is to make it last.</w:t>
      </w:r>
    </w:p>
    <w:sectPr w:rsidR="008F0BE6" w:rsidRPr="008F0B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BE6"/>
    <w:rsid w:val="00022A23"/>
    <w:rsid w:val="0023679E"/>
    <w:rsid w:val="0060313B"/>
    <w:rsid w:val="008F0BE6"/>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20891"/>
  <w15:chartTrackingRefBased/>
  <w15:docId w15:val="{42EA96A9-AC94-471D-B63C-329DB7358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0B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0B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0B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0B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0B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0B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0B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0B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0B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B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0B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0B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0B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0B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0B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0B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0B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0BE6"/>
    <w:rPr>
      <w:rFonts w:eastAsiaTheme="majorEastAsia" w:cstheme="majorBidi"/>
      <w:color w:val="272727" w:themeColor="text1" w:themeTint="D8"/>
    </w:rPr>
  </w:style>
  <w:style w:type="paragraph" w:styleId="Title">
    <w:name w:val="Title"/>
    <w:basedOn w:val="Normal"/>
    <w:next w:val="Normal"/>
    <w:link w:val="TitleChar"/>
    <w:uiPriority w:val="10"/>
    <w:qFormat/>
    <w:rsid w:val="008F0B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0B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0B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0B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0BE6"/>
    <w:pPr>
      <w:spacing w:before="160"/>
      <w:jc w:val="center"/>
    </w:pPr>
    <w:rPr>
      <w:i/>
      <w:iCs/>
      <w:color w:val="404040" w:themeColor="text1" w:themeTint="BF"/>
    </w:rPr>
  </w:style>
  <w:style w:type="character" w:customStyle="1" w:styleId="QuoteChar">
    <w:name w:val="Quote Char"/>
    <w:basedOn w:val="DefaultParagraphFont"/>
    <w:link w:val="Quote"/>
    <w:uiPriority w:val="29"/>
    <w:rsid w:val="008F0BE6"/>
    <w:rPr>
      <w:i/>
      <w:iCs/>
      <w:color w:val="404040" w:themeColor="text1" w:themeTint="BF"/>
    </w:rPr>
  </w:style>
  <w:style w:type="paragraph" w:styleId="ListParagraph">
    <w:name w:val="List Paragraph"/>
    <w:basedOn w:val="Normal"/>
    <w:uiPriority w:val="34"/>
    <w:qFormat/>
    <w:rsid w:val="008F0BE6"/>
    <w:pPr>
      <w:ind w:left="720"/>
      <w:contextualSpacing/>
    </w:pPr>
  </w:style>
  <w:style w:type="character" w:styleId="IntenseEmphasis">
    <w:name w:val="Intense Emphasis"/>
    <w:basedOn w:val="DefaultParagraphFont"/>
    <w:uiPriority w:val="21"/>
    <w:qFormat/>
    <w:rsid w:val="008F0BE6"/>
    <w:rPr>
      <w:i/>
      <w:iCs/>
      <w:color w:val="0F4761" w:themeColor="accent1" w:themeShade="BF"/>
    </w:rPr>
  </w:style>
  <w:style w:type="paragraph" w:styleId="IntenseQuote">
    <w:name w:val="Intense Quote"/>
    <w:basedOn w:val="Normal"/>
    <w:next w:val="Normal"/>
    <w:link w:val="IntenseQuoteChar"/>
    <w:uiPriority w:val="30"/>
    <w:qFormat/>
    <w:rsid w:val="008F0B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0BE6"/>
    <w:rPr>
      <w:i/>
      <w:iCs/>
      <w:color w:val="0F4761" w:themeColor="accent1" w:themeShade="BF"/>
    </w:rPr>
  </w:style>
  <w:style w:type="character" w:styleId="IntenseReference">
    <w:name w:val="Intense Reference"/>
    <w:basedOn w:val="DefaultParagraphFont"/>
    <w:uiPriority w:val="32"/>
    <w:qFormat/>
    <w:rsid w:val="008F0B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6D7864-D26B-4875-852E-B25B1C203BC9}"/>
</file>

<file path=customXml/itemProps2.xml><?xml version="1.0" encoding="utf-8"?>
<ds:datastoreItem xmlns:ds="http://schemas.openxmlformats.org/officeDocument/2006/customXml" ds:itemID="{BF44177C-D2C9-4A08-9BF4-9A4B3BD911E3}"/>
</file>

<file path=customXml/itemProps3.xml><?xml version="1.0" encoding="utf-8"?>
<ds:datastoreItem xmlns:ds="http://schemas.openxmlformats.org/officeDocument/2006/customXml" ds:itemID="{16CDDDFF-B639-45EE-9150-DB519A6FA757}"/>
</file>

<file path=docProps/app.xml><?xml version="1.0" encoding="utf-8"?>
<Properties xmlns="http://schemas.openxmlformats.org/officeDocument/2006/extended-properties" xmlns:vt="http://schemas.openxmlformats.org/officeDocument/2006/docPropsVTypes">
  <Template>Normal.dotm</Template>
  <TotalTime>2</TotalTime>
  <Pages>8</Pages>
  <Words>3160</Words>
  <Characters>18012</Characters>
  <Application>Microsoft Office Word</Application>
  <DocSecurity>0</DocSecurity>
  <Lines>150</Lines>
  <Paragraphs>42</Paragraphs>
  <ScaleCrop>false</ScaleCrop>
  <Company/>
  <LinksUpToDate>false</LinksUpToDate>
  <CharactersWithSpaces>21130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2026-09-02T04:30:00Z</dcterms:created>
  <dcterms:modified xsi:type="dcterms:W3CDTF">2026-09-02T04:32:00Z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