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C5DE3" w14:textId="2C9E7D42" w:rsidR="0023679E" w:rsidRDefault="00131C2B">
      <w:pPr>
        <w:rPr>
          <w:b/>
          <w:bCs/>
        </w:rPr>
      </w:pPr>
      <w:r w:rsidRPr="00131C2B">
        <w:rPr>
          <w:b/>
          <w:bCs/>
        </w:rPr>
        <w:t>Polaron Connect</w:t>
      </w:r>
    </w:p>
    <w:p w14:paraId="2063EF88" w14:textId="3FE99F9B" w:rsidR="00131C2B" w:rsidRPr="00131C2B" w:rsidRDefault="00131C2B">
      <w:pPr>
        <w:rPr>
          <w:b/>
          <w:bCs/>
        </w:rPr>
      </w:pPr>
      <w:r w:rsidRPr="00131C2B">
        <w:rPr>
          <w:b/>
          <w:bCs/>
        </w:rPr>
        <w:t>Feedback for Priority Area 1: Victim-survivors</w:t>
      </w:r>
    </w:p>
    <w:p w14:paraId="7648353D" w14:textId="1C529A57" w:rsidR="00131C2B" w:rsidRDefault="00131C2B" w:rsidP="00131C2B">
      <w:r>
        <w:t>Polaron Connect is a certified social enterprise and multicultural engagement specialist that helps public sector and purpose-driven organisations improve the lives of multicultural communities through specialist research and inclusive communication services.</w:t>
      </w:r>
    </w:p>
    <w:p w14:paraId="716AD3E5" w14:textId="27F7C437" w:rsidR="00131C2B" w:rsidRDefault="00131C2B" w:rsidP="00131C2B">
      <w:r>
        <w:t>Through our work with government agencies, health organisations, community services and statutory authorities, we regularly see the challenges organisations face in reaching culturally and linguistically diverse communities with important information, services and support. We also see the consequences when engagement is not culturally and trauma informed, when communities are not involved in design processes and when information fails to reach the people who need it most.</w:t>
      </w:r>
    </w:p>
    <w:p w14:paraId="584F73FE" w14:textId="672F3155" w:rsidR="00131C2B" w:rsidRDefault="00131C2B" w:rsidP="00131C2B">
      <w:r>
        <w:t>A significant factor influencing safety and recovery is whether victim-survivors can access information they understand, trust and feel confident acting upon.</w:t>
      </w:r>
    </w:p>
    <w:p w14:paraId="5874819C" w14:textId="188466AE" w:rsidR="00131C2B" w:rsidRDefault="00131C2B" w:rsidP="00131C2B">
      <w:r>
        <w:t>Many organisations invest substantial resources into service delivery, yet important information does not always reach multicultural communities effectively. In our experience, the challenge is rarely translation alone. The challenge is ensuring that information is communicated in ways that are culturally relevant, trusted and accessible. Professional interpreting services also play a critical role in supporting victim-survivors. People experiencing family, domestic and sexual violence must be able to communicate safely and accurately with police, healthcare providers, legal services, courts, housing providers and support organisations. Reliance on family members, friends, children - or - worst case scenario - perpetrators - to interpret can create significant risks, compromise confidentiality and prevent full disclosure of abuse. Consistent access to qualified interpreters should be viewed as an essential component of victim-survivor support.</w:t>
      </w:r>
    </w:p>
    <w:p w14:paraId="0DE68AE7" w14:textId="2A63E672" w:rsidR="00131C2B" w:rsidRDefault="00131C2B" w:rsidP="00131C2B">
      <w:r>
        <w:t>Victim-survivors need clear pathways to support that are designed with communities rather than for communities. Community co-design, culturally informed communication and direct engagement with diverse communities should be embedded throughout service planning and delivery. Investment in multilingual communications, community-led engagement and culturally responsive outreach can strengthen awareness of available support and improve access to services before circumstances escalate.</w:t>
      </w:r>
    </w:p>
    <w:p w14:paraId="606B7AE3" w14:textId="77777777" w:rsidR="00131C2B" w:rsidRDefault="00131C2B" w:rsidP="00131C2B">
      <w:r>
        <w:t>We also encourage greater recognition of the role that trusted community organisations play in connecting people with support. Many individuals engage first with community networks, cultural organisations, faith groups or settlement services before approaching formal systems.</w:t>
      </w:r>
    </w:p>
    <w:p w14:paraId="4C7BB8D9" w14:textId="558C76F5" w:rsidR="00131C2B" w:rsidRDefault="00131C2B" w:rsidP="00131C2B">
      <w:r>
        <w:lastRenderedPageBreak/>
        <w:t>People are more likely to seek support when information is easy to understand, available through trusted channels and delivered in ways that reflect lived realities. One of the recurring challenges we observe is that critical information often exists but does not reach the people it is intended to support. Standard communication methods and channels frequently miss communities that government and service providers are seeking to engage.</w:t>
      </w:r>
    </w:p>
    <w:p w14:paraId="652C2F27" w14:textId="08BC8327" w:rsidR="00131C2B" w:rsidRDefault="00131C2B" w:rsidP="00131C2B">
      <w:r>
        <w:t xml:space="preserve">Language barriers remain </w:t>
      </w:r>
      <w:proofErr w:type="gramStart"/>
      <w:r>
        <w:t>important</w:t>
      </w:r>
      <w:proofErr w:type="gramEnd"/>
      <w:r>
        <w:t xml:space="preserve"> but they are only one part of the challenge. Information may be technically available but not culturally relevant, easily understandable or distributed through trusted networks. Limited access to interpreting services can also prevent people from seeking help or fully engaging with support systems. Even where services are available, individuals may not be aware that interpreters can be provided, may be concerned about confidentiality in smaller language communities, or may encounter delays in accessing appropriately qualified interpreters.</w:t>
      </w:r>
    </w:p>
    <w:p w14:paraId="5B6D586F" w14:textId="43002318" w:rsidR="00131C2B" w:rsidRDefault="00131C2B" w:rsidP="00131C2B">
      <w:r>
        <w:t>Barriers commonly include:</w:t>
      </w:r>
    </w:p>
    <w:p w14:paraId="0CE6810E" w14:textId="77777777" w:rsidR="00131C2B" w:rsidRDefault="00131C2B" w:rsidP="00131C2B">
      <w:r>
        <w:t xml:space="preserve">1. Limited awareness of available services and legal protections. </w:t>
      </w:r>
    </w:p>
    <w:p w14:paraId="01F1AAB1" w14:textId="77777777" w:rsidR="00131C2B" w:rsidRDefault="00131C2B" w:rsidP="00131C2B">
      <w:r>
        <w:t xml:space="preserve">2. Lack of information in preferred languages or culturally appropriate formats. </w:t>
      </w:r>
    </w:p>
    <w:p w14:paraId="2F2DE90C" w14:textId="77777777" w:rsidR="00131C2B" w:rsidRDefault="00131C2B" w:rsidP="00131C2B">
      <w:r>
        <w:t xml:space="preserve">3. Fear of stigma, judgement or social consequences. </w:t>
      </w:r>
    </w:p>
    <w:p w14:paraId="0F52334D" w14:textId="77777777" w:rsidR="00131C2B" w:rsidRDefault="00131C2B" w:rsidP="00131C2B">
      <w:r>
        <w:t>4. Distrust of institutions or formal support systems.</w:t>
      </w:r>
    </w:p>
    <w:p w14:paraId="5F86D575" w14:textId="77777777" w:rsidR="00131C2B" w:rsidRDefault="00131C2B" w:rsidP="00131C2B">
      <w:r>
        <w:t xml:space="preserve">5. Social isolation and limited connection to mainstream services. </w:t>
      </w:r>
    </w:p>
    <w:p w14:paraId="6EEA9758" w14:textId="774F24D6" w:rsidR="00131C2B" w:rsidRDefault="00131C2B" w:rsidP="00131C2B">
      <w:r>
        <w:t>6. Concerns about privacy, confidentiality and community visibility.</w:t>
      </w:r>
    </w:p>
    <w:p w14:paraId="46E3EE6C" w14:textId="32450CC5" w:rsidR="00131C2B" w:rsidRDefault="00131C2B" w:rsidP="00131C2B">
      <w:r>
        <w:t>Early intervention efforts should prioritise culturally informed communication, community partnership models and sustained engagement with multicultural communities rather than relying solely on translated resources.</w:t>
      </w:r>
    </w:p>
    <w:p w14:paraId="4505746E" w14:textId="1E07B21E" w:rsidR="00131C2B" w:rsidRDefault="00131C2B" w:rsidP="00131C2B">
      <w:r>
        <w:t>Awareness of coercive control remains inconsistent across many communities. While physical violence is broadly understood, non-physical forms of abuse such as social isolation, financial control, intimidation, surveillance and manipulation may not always be recognised as family violence. This is particularly challenging when information about these behaviours is not communicated in culturally relevant ways.</w:t>
      </w:r>
    </w:p>
    <w:p w14:paraId="1188F43A" w14:textId="2848E67E" w:rsidR="00131C2B" w:rsidRDefault="00131C2B" w:rsidP="00131C2B">
      <w:r>
        <w:t>Technology-facilitated abuse is also becoming increasingly significant. Digital platforms can be used to monitor communications, track movements, control access to information and maintain coercive behaviours well beyond traditional settings.</w:t>
      </w:r>
    </w:p>
    <w:p w14:paraId="0E4A936D" w14:textId="0FBF2F17" w:rsidR="00131C2B" w:rsidRDefault="00131C2B" w:rsidP="00131C2B">
      <w:r>
        <w:t xml:space="preserve">There is a need for more multilingual and culturally informed education that helps individuals identify these forms of abuse, understand their rights and access support safely. Responses should focus not only on raising awareness but also on building trust. </w:t>
      </w:r>
      <w:r>
        <w:lastRenderedPageBreak/>
        <w:t>Information is most effective when communities view it as credible, relevant and respectful of their experiences.</w:t>
      </w:r>
    </w:p>
    <w:p w14:paraId="3AD4FA3E" w14:textId="347E4B7D" w:rsidR="00131C2B" w:rsidRDefault="00131C2B" w:rsidP="00131C2B">
      <w:r>
        <w:t>The most significant gap we continue to see is the assumption that translation alone creates accessibility. Effective multicultural engagement requires more than converting words from one language to another. It requires an understanding of culture, trust, lived experience and community context. Without this, well-intentioned programs can struggle to achieve meaningful reach or impact. There remains a need for greater investment in language access across the family violence system. Translation, interpreting and culturally informed communication should be embedded into service design from the outset rather than added later as supplementary measures. Victim-survivors should be able to access accurate information and communicate effectively with services regardless of the language they speak.</w:t>
      </w:r>
    </w:p>
    <w:p w14:paraId="300B96AA" w14:textId="6C22D4D9" w:rsidR="00131C2B" w:rsidRDefault="00131C2B" w:rsidP="00131C2B">
      <w:r>
        <w:t>We encourage greater investment in evidence-based multicultural engagement, community co-design and culturally informed communication across all areas of the National Plan. Communities should be involved early in policy development, service design and communication planning rather than being engaged after decisions have already been made. Polaron Connect also recognises the disproportionate impact of family, domestic and sexual violence on Aboriginal and Torres Strait Islander peoples. Sustained investment in Aboriginal community-controlled organisations and self-determined approaches remains essential.</w:t>
      </w:r>
    </w:p>
    <w:p w14:paraId="57670134" w14:textId="0F4C6BE4" w:rsidR="00131C2B" w:rsidRDefault="00131C2B" w:rsidP="00131C2B">
      <w:r>
        <w:t>More broadly, the Second Action Plan should recognise that diverse communities are not a single audience. Different communities experience different barriers, levels of awareness, cultural considerations and pathways to support. Effective responses must reflect this complexity.</w:t>
      </w:r>
    </w:p>
    <w:p w14:paraId="3647EAC4" w14:textId="77777777" w:rsidR="00131C2B" w:rsidRDefault="00131C2B" w:rsidP="00131C2B">
      <w:r>
        <w:t>The Second Action Plan presents an opportunity to strengthen trust, accessibility and community participation across the service system. By investing in culturally informed communication, authentic community engagement and evidence-based co-design, governments can improve safety outcomes and ensure that support reaches the communities that are too often missed by standard approaches.</w:t>
      </w:r>
    </w:p>
    <w:p w14:paraId="0ADD1D9E" w14:textId="1DCAF3D3" w:rsidR="00131C2B" w:rsidRPr="00131C2B" w:rsidRDefault="00131C2B" w:rsidP="00131C2B">
      <w:pPr>
        <w:rPr>
          <w:b/>
          <w:bCs/>
        </w:rPr>
      </w:pPr>
      <w:r w:rsidRPr="00131C2B">
        <w:rPr>
          <w:b/>
          <w:bCs/>
        </w:rPr>
        <w:t>Feedback for Priority Area 2: Prevention and early intervention</w:t>
      </w:r>
    </w:p>
    <w:p w14:paraId="6EDC1ABD" w14:textId="0DF8A6B2" w:rsidR="00131C2B" w:rsidRDefault="00131C2B" w:rsidP="00131C2B">
      <w:r>
        <w:t>Violence cannot be prevented if prevention messages fail to reach the people they are intended to reach.</w:t>
      </w:r>
    </w:p>
    <w:p w14:paraId="0CFAB1D6" w14:textId="77777777" w:rsidR="00131C2B" w:rsidRDefault="00131C2B" w:rsidP="00131C2B">
      <w:r>
        <w:t>Across government and community sectors, significant resources are invested in prevention campaigns, education programs and behaviour change initiatives. However, many culturally and linguistically diverse communities remain underserved because information is not communicated in ways that are accessible, culturally relevant or trusted.</w:t>
      </w:r>
    </w:p>
    <w:p w14:paraId="4795924E" w14:textId="171FA141" w:rsidR="00131C2B" w:rsidRDefault="00131C2B" w:rsidP="00131C2B">
      <w:r>
        <w:lastRenderedPageBreak/>
        <w:t>A common assumption is that translating information is sufficient. Our experience suggests otherwise. Effective prevention requires communication that is culturally informed, community-tested and delivered through trusted channels. If people do not see themselves reflected in a message, understand its relevance or trust its source, the message is unlikely to influence attitudes or behaviours.</w:t>
      </w:r>
    </w:p>
    <w:p w14:paraId="2679D69C" w14:textId="337A02FF" w:rsidR="00131C2B" w:rsidRDefault="00131C2B" w:rsidP="00131C2B">
      <w:r>
        <w:t>Language access should be recognised as a prevention strategy, not simply a service delivery consideration. Multilingual resources, professional interpreting services and culturally responsive communication should be integrated into prevention initiatives from the outset. Communities cannot respond to information they do not receive, understand or trust.</w:t>
      </w:r>
    </w:p>
    <w:p w14:paraId="2596046D" w14:textId="6AD1B5F1" w:rsidR="00131C2B" w:rsidRDefault="00131C2B" w:rsidP="00131C2B">
      <w:r>
        <w:t>Community engagement must also move beyond consultation. Prevention efforts are strengthened when multicultural communities, community leaders, young people and people with lived experience are involved in co-designing messages, campaigns and interventions. This not only improves reach and effectiveness but also helps build trust and community ownership.</w:t>
      </w:r>
    </w:p>
    <w:p w14:paraId="0660F48A" w14:textId="0A3DDF6E" w:rsidR="00131C2B" w:rsidRDefault="00131C2B" w:rsidP="00131C2B">
      <w:r>
        <w:t>Schools, workplaces, sporting clubs, faith communities and local organisations all have a role in shaping attitudes and behaviours. These settings offer valuable opportunities to promote respectful relationships, challenge harmful norms and support early intervention. Their effectiveness can be significantly increased when communication and engagement strategies are tailored to the communities they serve.</w:t>
      </w:r>
    </w:p>
    <w:p w14:paraId="0E1EB5A3" w14:textId="02B142A0" w:rsidR="00131C2B" w:rsidRDefault="00131C2B" w:rsidP="00131C2B">
      <w:r>
        <w:t>An emerging challenge is the growing influence of online environments. Social media, online communities and digital platforms increasingly shape attitudes about gender, relationships and violence. Harmful content, misinformation, misogynistic narratives and technology-facilitated abuse can spread rapidly and influence behaviour long before concerns become visible to families, schools or services. Prevention efforts must evolve accordingly, including through multilingual digital education and culturally responsive online engagement.</w:t>
      </w:r>
    </w:p>
    <w:p w14:paraId="094B5712" w14:textId="77777777" w:rsidR="00131C2B" w:rsidRDefault="00131C2B" w:rsidP="00131C2B">
      <w:r>
        <w:t>The greatest opportunity for prevention lies not only in creating more information but in ensuring information reaches communities in ways that are meaningful, trusted and actionable. A prevention strategy that does not effectively engage multicultural communities will inevitably leave gaps. Strengthening communication, language access, community partnerships and co-design should be central to the Second Action Plan if it is to achieve lasting change.</w:t>
      </w:r>
    </w:p>
    <w:p w14:paraId="0DB2E20D" w14:textId="504E1050" w:rsidR="00131C2B" w:rsidRPr="00131C2B" w:rsidRDefault="00131C2B" w:rsidP="00131C2B">
      <w:pPr>
        <w:rPr>
          <w:b/>
          <w:bCs/>
        </w:rPr>
      </w:pPr>
      <w:r w:rsidRPr="00131C2B">
        <w:rPr>
          <w:b/>
          <w:bCs/>
        </w:rPr>
        <w:t>Feedback for Priority Area 3: Children and young people in their own right</w:t>
      </w:r>
    </w:p>
    <w:p w14:paraId="4A966D24" w14:textId="5DD4B0B7" w:rsidR="00131C2B" w:rsidRDefault="00131C2B" w:rsidP="00131C2B">
      <w:r>
        <w:t xml:space="preserve">Children and young people are often spoken about in policy discussions, but too rarely spoken with. If we want better outcomes, their voices must be embedded in the design </w:t>
      </w:r>
      <w:r>
        <w:lastRenderedPageBreak/>
        <w:t>of policies, services and prevention initiatives from the beginning, not sought after decisions have already been made.</w:t>
      </w:r>
    </w:p>
    <w:p w14:paraId="17096A83" w14:textId="438C4CA6" w:rsidR="00131C2B" w:rsidRDefault="00131C2B" w:rsidP="00131C2B">
      <w:r>
        <w:t xml:space="preserve">From Polaron </w:t>
      </w:r>
      <w:proofErr w:type="spellStart"/>
      <w:r>
        <w:t>Connect's</w:t>
      </w:r>
      <w:proofErr w:type="spellEnd"/>
      <w:r>
        <w:t xml:space="preserve"> experience, one of the biggest challenges is that many children and young people from culturally and linguistically diverse backgrounds are effectively invisible within engagement processes. Information, consultations and support services are frequently designed for mainstream audiences and then adapted later, if at all. This can result in young people being excluded from discussions that directly affect their safety, wellbeing and future.</w:t>
      </w:r>
    </w:p>
    <w:p w14:paraId="6423610D" w14:textId="786552EB" w:rsidR="00131C2B" w:rsidRDefault="00131C2B" w:rsidP="00131C2B">
      <w:r>
        <w:t>Access to information is a critical issue. Young people cannot seek support, understand their rights or make informed decisions if information is not available in languages they understand or communicated in ways that reflect their cultural experiences. Multilingual resources, professional interpreting services and culturally informed communication should be considered essential components of child and youth focused services.</w:t>
      </w:r>
    </w:p>
    <w:p w14:paraId="40765C3E" w14:textId="622B00AC" w:rsidR="00131C2B" w:rsidRDefault="00131C2B" w:rsidP="00131C2B">
      <w:r>
        <w:t>Schools, youth organisations, sporting clubs and community groups are often the first places where signs of harm become visible. These settings should be equipped not only to recognise risks but also to engage effectively with young people from diverse backgrounds and connect them with appropriate support.</w:t>
      </w:r>
    </w:p>
    <w:p w14:paraId="5CDCA287" w14:textId="26C5B7B4" w:rsidR="00131C2B" w:rsidRDefault="00131C2B" w:rsidP="00131C2B">
      <w:r>
        <w:t xml:space="preserve">As young people increasingly navigate their lives online, responses must address the realities they face. Harmful online content, technology facilitated abuse, coercive behaviours, </w:t>
      </w:r>
      <w:proofErr w:type="gramStart"/>
      <w:r>
        <w:t>image based</w:t>
      </w:r>
      <w:proofErr w:type="gramEnd"/>
      <w:r>
        <w:t xml:space="preserve"> abuse and violence within peer and dating relationships are no longer emerging issues. They are everyday realities for many young people. Prevention efforts must reflect this environment and provide practical, accessible education that equips young people to recognise harm and seek help early.</w:t>
      </w:r>
    </w:p>
    <w:p w14:paraId="0AF75AA8" w14:textId="0A25397A" w:rsidR="00131C2B" w:rsidRDefault="00131C2B" w:rsidP="00131C2B">
      <w:r>
        <w:t>For young people displaying harmful behaviours, interventions should focus on early engagement, accountability and behaviour change while recognising the influence of family, peers, community and online environments. Responses are more likely to succeed when they address underlying drivers of behaviour rather than focusing solely on punishment.</w:t>
      </w:r>
    </w:p>
    <w:p w14:paraId="755A6773" w14:textId="511AC2EE" w:rsidR="00131C2B" w:rsidRDefault="00131C2B" w:rsidP="00131C2B">
      <w:r>
        <w:t xml:space="preserve">Most importantly, children and young people should be recognised as experts in their own experiences. Governments and service providers should invest in genuine co-design, youth advisory mechanisms and ongoing engagement processes that enable young people to help shape the policies, programs and services intended for them. </w:t>
      </w:r>
      <w:proofErr w:type="gramStart"/>
      <w:r>
        <w:t>Particular effort</w:t>
      </w:r>
      <w:proofErr w:type="gramEnd"/>
      <w:r>
        <w:t xml:space="preserve"> should be made to include culturally and linguistically diverse young people through accessible communication, language support and culturally safe engagement practices.</w:t>
      </w:r>
    </w:p>
    <w:p w14:paraId="4481199B" w14:textId="77777777" w:rsidR="00131C2B" w:rsidRDefault="00131C2B" w:rsidP="00131C2B">
      <w:r>
        <w:lastRenderedPageBreak/>
        <w:t>If young people are not meaningfully involved in shaping solutions, we should not be surprised when those solutions fail to reflect the realities of their lives.</w:t>
      </w:r>
    </w:p>
    <w:p w14:paraId="12F17D3A" w14:textId="0DFAB6E7" w:rsidR="00131C2B" w:rsidRPr="00131C2B" w:rsidRDefault="00131C2B" w:rsidP="00131C2B">
      <w:pPr>
        <w:rPr>
          <w:b/>
          <w:bCs/>
        </w:rPr>
      </w:pPr>
      <w:r w:rsidRPr="00131C2B">
        <w:rPr>
          <w:b/>
          <w:bCs/>
        </w:rPr>
        <w:t>Feedback for Priority Area 4: People who use violence</w:t>
      </w:r>
    </w:p>
    <w:p w14:paraId="2B748E43" w14:textId="664765CD" w:rsidR="00131C2B" w:rsidRDefault="00131C2B" w:rsidP="00131C2B">
      <w:r>
        <w:t>T</w:t>
      </w:r>
      <w:r>
        <w:t>oo often, the conversation about people who use violence begins after harm has already occurred. A stronger focus is needed on identifying risk earlier and intervening before behaviours become entrenched.</w:t>
      </w:r>
    </w:p>
    <w:p w14:paraId="73150538" w14:textId="5C1957EA" w:rsidR="00131C2B" w:rsidRDefault="00131C2B" w:rsidP="00131C2B">
      <w:r>
        <w:t xml:space="preserve">From Polaron </w:t>
      </w:r>
      <w:proofErr w:type="spellStart"/>
      <w:r>
        <w:t>Connect's</w:t>
      </w:r>
      <w:proofErr w:type="spellEnd"/>
      <w:r>
        <w:t xml:space="preserve"> experience, one of the biggest barriers to early intervention is that critical information, education and support frequently fail to reach the communities that need them most. Governments and service providers often assume that if a resource exists, it is accessible. </w:t>
      </w:r>
      <w:proofErr w:type="gramStart"/>
      <w:r>
        <w:t>In reality, many</w:t>
      </w:r>
      <w:proofErr w:type="gramEnd"/>
      <w:r>
        <w:t xml:space="preserve"> people never receive, understand or engage with the information intended for them.</w:t>
      </w:r>
    </w:p>
    <w:p w14:paraId="399DB16F" w14:textId="534EA22B" w:rsidR="00131C2B" w:rsidRDefault="00131C2B" w:rsidP="00131C2B">
      <w:r>
        <w:t>Language barriers, low awareness of services and communication that does not reflect community realities can all reduce the effectiveness of early intervention efforts. Prevention and behaviour change programs must be accessible, culturally informed and delivered in ways that people understand and trust.</w:t>
      </w:r>
    </w:p>
    <w:p w14:paraId="099D653D" w14:textId="0AB0369F" w:rsidR="00131C2B" w:rsidRDefault="00131C2B" w:rsidP="00131C2B">
      <w:r>
        <w:t xml:space="preserve">We believe there is a significant opportunity to engage multicultural communities as part of the solution. Community leaders, faith leaders, employers, sporting organisations and multicultural organisations </w:t>
      </w:r>
      <w:proofErr w:type="gramStart"/>
      <w:r>
        <w:t>are often in a position to</w:t>
      </w:r>
      <w:proofErr w:type="gramEnd"/>
      <w:r>
        <w:t xml:space="preserve"> recognise concerning behaviours long before they come to the attention of police or specialist services. Yet these groups are frequently overlooked in prevention and intervention strategies.</w:t>
      </w:r>
    </w:p>
    <w:p w14:paraId="4CF551EF" w14:textId="252C33ED" w:rsidR="00131C2B" w:rsidRDefault="00131C2B" w:rsidP="00131C2B">
      <w:r>
        <w:t>Governments should invest in multilingual education campaigns, community-led engagement and culturally informed communication that help people understand what constitutes violence, recognise early warning signs and know where to seek support before harm escalates.</w:t>
      </w:r>
    </w:p>
    <w:p w14:paraId="30D7FFA2" w14:textId="2BD0CD7C" w:rsidR="00131C2B" w:rsidRDefault="00131C2B" w:rsidP="00131C2B">
      <w:r>
        <w:t>Importantly, cultural responsiveness should not be confused with cultural accommodation. Violence is never acceptable. However, if behaviour change programs are not designed to engage people effectively, they are less likely to achieve meaningful outcomes. Accountability and accessibility must work together.</w:t>
      </w:r>
    </w:p>
    <w:p w14:paraId="0AE53E7F" w14:textId="0467E558" w:rsidR="00131C2B" w:rsidRDefault="00131C2B" w:rsidP="00131C2B">
      <w:r>
        <w:t>We also encourage greater use of professional interpreting services within behaviour change and intervention programs. True accountability depends on understanding. People cannot be expected to engage meaningfully with complex discussions about responsibility, consequences, behaviour change and safety if language barriers prevent full participation.</w:t>
      </w:r>
    </w:p>
    <w:p w14:paraId="397EBDBA" w14:textId="20D60589" w:rsidR="00131C2B" w:rsidRDefault="00131C2B" w:rsidP="00131C2B">
      <w:r>
        <w:t xml:space="preserve">An emerging challenge is the growing influence of online environments. Harmful content, misogynistic narratives, coercive control and technology-enabled abuse can reinforce attitudes that support violence and make harmful behaviours more difficult to </w:t>
      </w:r>
      <w:r>
        <w:lastRenderedPageBreak/>
        <w:t>identify. Responses must extend beyond traditional service settings and include digital engagement strategies capable of reaching diverse audiences.</w:t>
      </w:r>
    </w:p>
    <w:p w14:paraId="0A917809" w14:textId="77777777" w:rsidR="00131C2B" w:rsidRDefault="00131C2B" w:rsidP="00131C2B">
      <w:r>
        <w:t>If Australia is serious about ending violence, we need to go beyond responding to incidents and invest in changing attitudes, behaviours and social norms before violence occurs. That requires communication that reaches people, engagement that builds trust and interventions that are accessible to every community, regardless of language or cultural background.</w:t>
      </w:r>
    </w:p>
    <w:p w14:paraId="40EBED43" w14:textId="6414B076" w:rsidR="00131C2B" w:rsidRPr="00131C2B" w:rsidRDefault="00131C2B" w:rsidP="00131C2B">
      <w:pPr>
        <w:rPr>
          <w:b/>
          <w:bCs/>
        </w:rPr>
      </w:pPr>
      <w:r w:rsidRPr="00131C2B">
        <w:rPr>
          <w:b/>
          <w:bCs/>
        </w:rPr>
        <w:t>Feedback for Priority Area 5: System Integration and Workforce</w:t>
      </w:r>
    </w:p>
    <w:p w14:paraId="3B63BF18" w14:textId="08C29B8D" w:rsidR="00131C2B" w:rsidRDefault="00131C2B" w:rsidP="00131C2B">
      <w:r>
        <w:t>One of the biggest barriers to an effective response system is the gap between service availability and service accessibility. Services may exist, but they cannot achieve their intended outcomes if people are unable to access information, understand their options or communicate effectively with providers.</w:t>
      </w:r>
    </w:p>
    <w:p w14:paraId="2938CB28" w14:textId="2CD62D4A" w:rsidR="00131C2B" w:rsidRDefault="00131C2B" w:rsidP="00131C2B">
      <w:r>
        <w:t>A more coordinated system requires accessibility and communication to be embedded across every stage of prevention, early intervention, response and recovery. Language services, interpreting, translation and culturally informed communication should not sit on the periphery of service delivery. They are essential enablers of access, safety and participation.</w:t>
      </w:r>
    </w:p>
    <w:p w14:paraId="78A0210D" w14:textId="2F944B26" w:rsidR="00131C2B" w:rsidRDefault="00131C2B" w:rsidP="00131C2B">
      <w:r>
        <w:t>Too often, culturally and linguistically diverse communities are required to navigate multiple services, agencies and referral pathways without adequate language support. This can result in delays in accessing help, duplication of effort, disengagement from services and poorer outcomes for victim-survivors and families.</w:t>
      </w:r>
    </w:p>
    <w:p w14:paraId="312627DD" w14:textId="6713AD6B" w:rsidR="00131C2B" w:rsidRDefault="00131C2B" w:rsidP="00131C2B">
      <w:r>
        <w:t>Workforce capability must extend beyond technical expertise. Professionals across health, justice, education, community services and family violence sectors need the skills, resources and confidence to communicate effectively with diverse communities. This includes understanding when and how to engage professional interpreters, recognising communication barriers and designing services that are accessible for people from different linguistic and cultural backgrounds.</w:t>
      </w:r>
    </w:p>
    <w:p w14:paraId="28A1F0CF" w14:textId="78F0E00C" w:rsidR="00131C2B" w:rsidRDefault="00131C2B" w:rsidP="00131C2B">
      <w:r>
        <w:t>There is also a need to strengthen the role of bilingual and bicultural workers across the workforce. These professionals play a critical role in building trust, supporting engagement and helping organisations understand community perspectives. However, their expertise is often underutilised, undervalued or treated as supplementary rather than essential.</w:t>
      </w:r>
    </w:p>
    <w:p w14:paraId="679FEC0B" w14:textId="77777777" w:rsidR="00131C2B" w:rsidRDefault="00131C2B" w:rsidP="00131C2B">
      <w:r>
        <w:t>More effective collaboration between government agencies, specialist services, community organisations and multicultural organisations would improve both reach and outcomes. Organisations that have established relationships with diverse communities can help bridge gaps between systems and communities, improve trust and ensure information reaches those who need it most.</w:t>
      </w:r>
    </w:p>
    <w:p w14:paraId="41150841" w14:textId="4BD02811" w:rsidR="00131C2B" w:rsidRDefault="00131C2B" w:rsidP="00131C2B">
      <w:r>
        <w:lastRenderedPageBreak/>
        <w:t xml:space="preserve">From Polaron </w:t>
      </w:r>
      <w:proofErr w:type="spellStart"/>
      <w:r>
        <w:t>Connect's</w:t>
      </w:r>
      <w:proofErr w:type="spellEnd"/>
      <w:r>
        <w:t xml:space="preserve"> perspective, one of the most significant system gaps is the lack of investment in communication as a core implementation capability. Policies, programs and services can only be effective if they are understood, trusted and accessible. Greater attention should be given to multilingual communication, community engagement, co-design and language access when designing, implementing and evaluating initiatives under the National Plan.</w:t>
      </w:r>
    </w:p>
    <w:p w14:paraId="6461FFBC" w14:textId="0B9DE9D3" w:rsidR="00131C2B" w:rsidRDefault="00131C2B" w:rsidP="00131C2B">
      <w:r>
        <w:t>The Second Action Plan should also prioritise better evidence on what works for diverse communities. This includes investing in culturally informed research, community consultation and evaluation processes that capture the experiences of people who are often underrepresented in mainstream data collection.</w:t>
      </w:r>
    </w:p>
    <w:p w14:paraId="67A148ED" w14:textId="441FE85E" w:rsidR="00131C2B" w:rsidRPr="00131C2B" w:rsidRDefault="00131C2B" w:rsidP="00131C2B">
      <w:r>
        <w:t>A stronger, more connected system requires more than coordination between services. It requires meaningful communication between systems and communities. Without this, even well-designed policies and programs risk failing to reach the people they are intended to support.</w:t>
      </w:r>
    </w:p>
    <w:sectPr w:rsidR="00131C2B" w:rsidRPr="00131C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C2B"/>
    <w:rsid w:val="00022A23"/>
    <w:rsid w:val="00131C2B"/>
    <w:rsid w:val="0023679E"/>
    <w:rsid w:val="008D3768"/>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7FABA"/>
  <w15:chartTrackingRefBased/>
  <w15:docId w15:val="{823E2A7E-1E9A-4101-B07B-D88C6286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1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1C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1C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1C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1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1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1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1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C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1C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1C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1C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1C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1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C2B"/>
    <w:rPr>
      <w:rFonts w:eastAsiaTheme="majorEastAsia" w:cstheme="majorBidi"/>
      <w:color w:val="272727" w:themeColor="text1" w:themeTint="D8"/>
    </w:rPr>
  </w:style>
  <w:style w:type="paragraph" w:styleId="Title">
    <w:name w:val="Title"/>
    <w:basedOn w:val="Normal"/>
    <w:next w:val="Normal"/>
    <w:link w:val="TitleChar"/>
    <w:uiPriority w:val="10"/>
    <w:qFormat/>
    <w:rsid w:val="00131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C2B"/>
    <w:pPr>
      <w:spacing w:before="160"/>
      <w:jc w:val="center"/>
    </w:pPr>
    <w:rPr>
      <w:i/>
      <w:iCs/>
      <w:color w:val="404040" w:themeColor="text1" w:themeTint="BF"/>
    </w:rPr>
  </w:style>
  <w:style w:type="character" w:customStyle="1" w:styleId="QuoteChar">
    <w:name w:val="Quote Char"/>
    <w:basedOn w:val="DefaultParagraphFont"/>
    <w:link w:val="Quote"/>
    <w:uiPriority w:val="29"/>
    <w:rsid w:val="00131C2B"/>
    <w:rPr>
      <w:i/>
      <w:iCs/>
      <w:color w:val="404040" w:themeColor="text1" w:themeTint="BF"/>
    </w:rPr>
  </w:style>
  <w:style w:type="paragraph" w:styleId="ListParagraph">
    <w:name w:val="List Paragraph"/>
    <w:basedOn w:val="Normal"/>
    <w:uiPriority w:val="34"/>
    <w:qFormat/>
    <w:rsid w:val="00131C2B"/>
    <w:pPr>
      <w:ind w:left="720"/>
      <w:contextualSpacing/>
    </w:pPr>
  </w:style>
  <w:style w:type="character" w:styleId="IntenseEmphasis">
    <w:name w:val="Intense Emphasis"/>
    <w:basedOn w:val="DefaultParagraphFont"/>
    <w:uiPriority w:val="21"/>
    <w:qFormat/>
    <w:rsid w:val="00131C2B"/>
    <w:rPr>
      <w:i/>
      <w:iCs/>
      <w:color w:val="0F4761" w:themeColor="accent1" w:themeShade="BF"/>
    </w:rPr>
  </w:style>
  <w:style w:type="paragraph" w:styleId="IntenseQuote">
    <w:name w:val="Intense Quote"/>
    <w:basedOn w:val="Normal"/>
    <w:next w:val="Normal"/>
    <w:link w:val="IntenseQuoteChar"/>
    <w:uiPriority w:val="30"/>
    <w:qFormat/>
    <w:rsid w:val="00131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1C2B"/>
    <w:rPr>
      <w:i/>
      <w:iCs/>
      <w:color w:val="0F4761" w:themeColor="accent1" w:themeShade="BF"/>
    </w:rPr>
  </w:style>
  <w:style w:type="character" w:styleId="IntenseReference">
    <w:name w:val="Intense Reference"/>
    <w:basedOn w:val="DefaultParagraphFont"/>
    <w:uiPriority w:val="32"/>
    <w:qFormat/>
    <w:rsid w:val="00131C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B69E0C-583E-43CB-B170-445DE2B4CA10}"/>
</file>

<file path=customXml/itemProps2.xml><?xml version="1.0" encoding="utf-8"?>
<ds:datastoreItem xmlns:ds="http://schemas.openxmlformats.org/officeDocument/2006/customXml" ds:itemID="{34747B27-94C1-47F5-AC95-7FAB2B6F6DBD}"/>
</file>

<file path=customXml/itemProps3.xml><?xml version="1.0" encoding="utf-8"?>
<ds:datastoreItem xmlns:ds="http://schemas.openxmlformats.org/officeDocument/2006/customXml" ds:itemID="{42DD3839-0705-4624-ABCD-27F46B6A802B}"/>
</file>

<file path=docProps/app.xml><?xml version="1.0" encoding="utf-8"?>
<Properties xmlns="http://schemas.openxmlformats.org/officeDocument/2006/extended-properties" xmlns:vt="http://schemas.openxmlformats.org/officeDocument/2006/docPropsVTypes">
  <Template>Normal.dotm</Template>
  <TotalTime>2</TotalTime>
  <Pages>8</Pages>
  <Words>2970</Words>
  <Characters>16934</Characters>
  <Application>Microsoft Office Word</Application>
  <DocSecurity>0</DocSecurity>
  <Lines>141</Lines>
  <Paragraphs>39</Paragraphs>
  <ScaleCrop>false</ScaleCrop>
  <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2026-09-02T07:00:00Z</dcterms:created>
  <dcterms:modified xsi:type="dcterms:W3CDTF">2026-09-02T07:02:00Z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