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8E447" w14:textId="47884B10" w:rsidR="0023679E" w:rsidRDefault="00A17D0C">
      <w:pPr>
        <w:rPr>
          <w:b/>
          <w:bCs/>
        </w:rPr>
      </w:pPr>
      <w:r w:rsidRPr="00A17D0C">
        <w:rPr>
          <w:b/>
          <w:bCs/>
        </w:rPr>
        <w:t>Relationship Matters Counselling and Mediation</w:t>
      </w:r>
    </w:p>
    <w:p w14:paraId="71B65AFA" w14:textId="5BBE16D8" w:rsidR="00A17D0C" w:rsidRDefault="00A17D0C">
      <w:pPr>
        <w:rPr>
          <w:b/>
          <w:bCs/>
        </w:rPr>
      </w:pPr>
      <w:r w:rsidRPr="00A17D0C">
        <w:rPr>
          <w:b/>
          <w:bCs/>
        </w:rPr>
        <w:t>Feedback for Priority Area 1: Victim-survivors</w:t>
      </w:r>
    </w:p>
    <w:p w14:paraId="533D8A18" w14:textId="42F84520" w:rsidR="00A17D0C" w:rsidRDefault="00A17D0C" w:rsidP="00A17D0C">
      <w:r>
        <w:t>Relationship Matters recommends that the Second Action Plan recognise and fund Family and Relationship Services as a core early-intervention layer of the national family violence response.</w:t>
      </w:r>
    </w:p>
    <w:p w14:paraId="24AA9C0D" w14:textId="4980A681" w:rsidR="00A17D0C" w:rsidRDefault="00A17D0C" w:rsidP="00A17D0C">
      <w:r>
        <w:t>Many victim-survivors do not initially approach a specialist family violence service or identify family violence as the reason they are seeking support. They may instead present to counselling, family relationship or family law services because of relationship distress, separation, parenting conflict, mental health concerns or impacts on their work and daily life.</w:t>
      </w:r>
    </w:p>
    <w:p w14:paraId="3FD7B871" w14:textId="67808072" w:rsidR="00A17D0C" w:rsidRDefault="00A17D0C" w:rsidP="00A17D0C">
      <w:r>
        <w:t>At Relationship Matters, family violence is identified in approximately four in five families presenting for family dispute resolution and is relevant to around 60 per cent of counselling clients. These services are therefore important entry points through which victim-survivors and children can be identified, supported and connected with specialist, legal and practical assistance.</w:t>
      </w:r>
    </w:p>
    <w:p w14:paraId="09477AC4" w14:textId="47CC9099" w:rsidR="00A17D0C" w:rsidRDefault="00A17D0C" w:rsidP="00A17D0C">
      <w:r>
        <w:t>Service and system responses that would make the biggest difference</w:t>
      </w:r>
    </w:p>
    <w:p w14:paraId="4D04309B" w14:textId="0DD408BD" w:rsidR="00A17D0C" w:rsidRDefault="00A17D0C" w:rsidP="00A17D0C">
      <w:r>
        <w:t>Victim-survivors need multiple safe entry points and continuity of support across services. A genuine “no wrong door” approach should mean that services likely to encounter family violence have the capability and resources to respond safely, while retaining clear roles and specialist leadership.</w:t>
      </w:r>
    </w:p>
    <w:p w14:paraId="32862FFA" w14:textId="1A5FF542" w:rsidR="00A17D0C" w:rsidRDefault="00A17D0C" w:rsidP="00A17D0C">
      <w:r>
        <w:t>Family and Relationship Services should be funded to undertake:</w:t>
      </w:r>
    </w:p>
    <w:p w14:paraId="60EB5A5E" w14:textId="77777777" w:rsidR="00A17D0C" w:rsidRDefault="00A17D0C" w:rsidP="00A17D0C">
      <w:r>
        <w:t>safe identification of family violence and coercive control;</w:t>
      </w:r>
    </w:p>
    <w:p w14:paraId="3FF6AC1A" w14:textId="77777777" w:rsidR="00A17D0C" w:rsidRDefault="00A17D0C" w:rsidP="00A17D0C">
      <w:r>
        <w:t>risk identification and assessment;</w:t>
      </w:r>
    </w:p>
    <w:p w14:paraId="7535471F" w14:textId="77777777" w:rsidR="00A17D0C" w:rsidRDefault="00A17D0C" w:rsidP="00A17D0C">
      <w:r>
        <w:t>immediate safety planning and brief support;</w:t>
      </w:r>
    </w:p>
    <w:p w14:paraId="17F65CC3" w14:textId="77777777" w:rsidR="00A17D0C" w:rsidRDefault="00A17D0C" w:rsidP="00A17D0C">
      <w:r>
        <w:t>specialist secondary consultation;</w:t>
      </w:r>
    </w:p>
    <w:p w14:paraId="615158EA" w14:textId="77777777" w:rsidR="00A17D0C" w:rsidRDefault="00A17D0C" w:rsidP="00A17D0C">
      <w:r>
        <w:t>warm referral and service navigation;</w:t>
      </w:r>
    </w:p>
    <w:p w14:paraId="08CCEC11" w14:textId="77777777" w:rsidR="00A17D0C" w:rsidRDefault="00A17D0C" w:rsidP="00A17D0C">
      <w:r>
        <w:t>coordination with family violence, legal, housing, health and child and family services; and</w:t>
      </w:r>
    </w:p>
    <w:p w14:paraId="7AE8BECD" w14:textId="6E509A19" w:rsidR="00A17D0C" w:rsidRDefault="00A17D0C" w:rsidP="00A17D0C">
      <w:r>
        <w:t>follow-up until an appropriate service connection is established.</w:t>
      </w:r>
    </w:p>
    <w:p w14:paraId="0DC64B53" w14:textId="2534A8F8" w:rsidR="00A17D0C" w:rsidRDefault="00A17D0C" w:rsidP="00A17D0C">
      <w:r>
        <w:t>This would reduce repeated disclosure, unsupported referrals and situations in which victim-survivors are left to navigate complex systems alone.</w:t>
      </w:r>
    </w:p>
    <w:p w14:paraId="58213C53" w14:textId="7042FD8B" w:rsidR="00A17D0C" w:rsidRDefault="00A17D0C" w:rsidP="00A17D0C">
      <w:r>
        <w:t xml:space="preserve">Formal, funded partnerships should connect specialist family violence services, Aboriginal Community Controlled Organisations, Family and Relationship Services, </w:t>
      </w:r>
      <w:r>
        <w:lastRenderedPageBreak/>
        <w:t>legal assistance, family law, housing, health, mental health, alcohol and other drug and child and family services. These arrangements should include agreed referral and escalation pathways, lawful information sharing, multi-agency responses for high-risk matters and shared responsibility for continuity of care.</w:t>
      </w:r>
    </w:p>
    <w:p w14:paraId="3600C766" w14:textId="5505BA53" w:rsidR="00A17D0C" w:rsidRDefault="00A17D0C" w:rsidP="00A17D0C">
      <w:r>
        <w:t>The Second Action Plan should also align the DSS reform of programs for families and children with the Attorney-General’s Department’s consideration of the Support for Separating Families review. These reforms affect many of the same families. A joint DSS–Attorney-General’s Department mechanism should align family violence capability, commissioning, referral pathways, child-inclusive practice, information sharing and outcomes.</w:t>
      </w:r>
    </w:p>
    <w:p w14:paraId="1498D4C1" w14:textId="57C9F3AB" w:rsidR="00A17D0C" w:rsidRDefault="00A17D0C" w:rsidP="00A17D0C">
      <w:r>
        <w:t>Helping people access support earlier</w:t>
      </w:r>
    </w:p>
    <w:p w14:paraId="53D48439" w14:textId="7995C813" w:rsidR="00A17D0C" w:rsidRDefault="00A17D0C" w:rsidP="00A17D0C">
      <w:r>
        <w:t>People are more likely to seek support early when it is available through familiar, accessible and less stigmatising services. Counselling and family relationship services may be approached before a person recognises their experiences as abuse or before violence escalates to crisis.</w:t>
      </w:r>
    </w:p>
    <w:p w14:paraId="556A3DDD" w14:textId="022982C2" w:rsidR="00A17D0C" w:rsidRDefault="00A17D0C" w:rsidP="00A17D0C">
      <w:r>
        <w:t>Barriers to help-seeking include:</w:t>
      </w:r>
    </w:p>
    <w:p w14:paraId="67D41C1A" w14:textId="77777777" w:rsidR="00A17D0C" w:rsidRDefault="00A17D0C" w:rsidP="00A17D0C">
      <w:r>
        <w:t>fear of retaliation, escalation or systems involvement;</w:t>
      </w:r>
    </w:p>
    <w:p w14:paraId="4F4702F6" w14:textId="77777777" w:rsidR="00A17D0C" w:rsidRDefault="00A17D0C" w:rsidP="00A17D0C">
      <w:r>
        <w:t>uncertainty about whether the behaviour is serious enough;</w:t>
      </w:r>
    </w:p>
    <w:p w14:paraId="72497852" w14:textId="77777777" w:rsidR="00A17D0C" w:rsidRDefault="00A17D0C" w:rsidP="00A17D0C">
      <w:r>
        <w:t>financial dependence and lack of safe housing;</w:t>
      </w:r>
    </w:p>
    <w:p w14:paraId="0799E3A5" w14:textId="77777777" w:rsidR="00A17D0C" w:rsidRDefault="00A17D0C" w:rsidP="00A17D0C">
      <w:r>
        <w:t>fear of not being believed or being misidentified;</w:t>
      </w:r>
    </w:p>
    <w:p w14:paraId="35BEDC2D" w14:textId="77777777" w:rsidR="00A17D0C" w:rsidRDefault="00A17D0C" w:rsidP="00A17D0C">
      <w:r>
        <w:t>concern about child removal, family separation or community consequences;</w:t>
      </w:r>
    </w:p>
    <w:p w14:paraId="76117CC4" w14:textId="77777777" w:rsidR="00A17D0C" w:rsidRDefault="00A17D0C" w:rsidP="00A17D0C">
      <w:r>
        <w:t>language, cultural and disability access barriers;</w:t>
      </w:r>
    </w:p>
    <w:p w14:paraId="17EC63EA" w14:textId="77777777" w:rsidR="00A17D0C" w:rsidRDefault="00A17D0C" w:rsidP="00A17D0C">
      <w:r>
        <w:t>racism, discrimination and community stigma;</w:t>
      </w:r>
    </w:p>
    <w:p w14:paraId="62C1D375" w14:textId="77777777" w:rsidR="00A17D0C" w:rsidRDefault="00A17D0C" w:rsidP="00A17D0C">
      <w:r>
        <w:t>lack of confidentiality in regional or closely connected communities; and</w:t>
      </w:r>
    </w:p>
    <w:p w14:paraId="0CE3AA40" w14:textId="0D89F7B7" w:rsidR="00A17D0C" w:rsidRDefault="00A17D0C" w:rsidP="00A17D0C">
      <w:r>
        <w:t>limited access to interpreters, transport, childcare and legal assistance.</w:t>
      </w:r>
    </w:p>
    <w:p w14:paraId="497A7903" w14:textId="00F0D38B" w:rsidR="00A17D0C" w:rsidRDefault="00A17D0C" w:rsidP="00A17D0C">
      <w:r>
        <w:t>Earlier access requires flexible face-to-face, telephone, outreach and secure digital options; qualified interpreters; disability access; culturally safe practice; and practical assistance with legal, housing, financial and service-navigation needs.</w:t>
      </w:r>
    </w:p>
    <w:p w14:paraId="4A6F48C8" w14:textId="31F03E7C" w:rsidR="00A17D0C" w:rsidRDefault="00A17D0C" w:rsidP="00A17D0C">
      <w:r>
        <w:t>Warm referral is particularly important. Providing a telephone number or service list is not sufficient where a person is frightened, overwhelmed or facing multiple barriers. Services should have the capacity to assist with the connection and remain involved where needed.</w:t>
      </w:r>
    </w:p>
    <w:p w14:paraId="26506C96" w14:textId="6899DD5C" w:rsidR="00A17D0C" w:rsidRDefault="00A17D0C" w:rsidP="00A17D0C">
      <w:r>
        <w:t>Coercive control and technology-facilitated abuse</w:t>
      </w:r>
    </w:p>
    <w:p w14:paraId="3C2B76DD" w14:textId="71CDEE3E" w:rsidR="00A17D0C" w:rsidRDefault="00A17D0C" w:rsidP="00A17D0C">
      <w:r>
        <w:lastRenderedPageBreak/>
        <w:t>The Second Action Plan should strengthen understanding of coercive control as an ongoing pattern that restricts autonomy, creates fear and entrapment and may continue or intensify after separation.</w:t>
      </w:r>
    </w:p>
    <w:p w14:paraId="2CE64EE2" w14:textId="0439C48D" w:rsidR="00A17D0C" w:rsidRDefault="00A17D0C" w:rsidP="00A17D0C">
      <w:r>
        <w:t>Risk assessment should consider the cumulative pattern and impact of behaviour rather than focusing primarily on isolated incidents or physical violence.</w:t>
      </w:r>
    </w:p>
    <w:p w14:paraId="62DF7DB0" w14:textId="37360ACC" w:rsidR="00A17D0C" w:rsidRDefault="00A17D0C" w:rsidP="00A17D0C">
      <w:r>
        <w:t>Current and emerging issues include:</w:t>
      </w:r>
    </w:p>
    <w:p w14:paraId="32E5C23F" w14:textId="77777777" w:rsidR="00A17D0C" w:rsidRDefault="00A17D0C" w:rsidP="00A17D0C">
      <w:r>
        <w:t>surveillance and tracking through phones, vehicles and applications;</w:t>
      </w:r>
    </w:p>
    <w:p w14:paraId="3359C7A6" w14:textId="77777777" w:rsidR="00A17D0C" w:rsidRDefault="00A17D0C" w:rsidP="00A17D0C">
      <w:r>
        <w:t>monitoring through shared devices, passwords and accounts;</w:t>
      </w:r>
    </w:p>
    <w:p w14:paraId="164D0034" w14:textId="77777777" w:rsidR="00A17D0C" w:rsidRDefault="00A17D0C" w:rsidP="00A17D0C">
      <w:r>
        <w:t>control of digital banking, government accounts and essential services;</w:t>
      </w:r>
    </w:p>
    <w:p w14:paraId="230D76A7" w14:textId="77777777" w:rsidR="00A17D0C" w:rsidRDefault="00A17D0C" w:rsidP="00A17D0C">
      <w:r>
        <w:t>impersonation, image-based abuse and misuse of personal information;</w:t>
      </w:r>
    </w:p>
    <w:p w14:paraId="568D9B24" w14:textId="77777777" w:rsidR="00A17D0C" w:rsidRDefault="00A17D0C" w:rsidP="00A17D0C">
      <w:r>
        <w:t>artificial intelligence-generated images and deepfakes;</w:t>
      </w:r>
    </w:p>
    <w:p w14:paraId="11858FF2" w14:textId="77777777" w:rsidR="00A17D0C" w:rsidRDefault="00A17D0C" w:rsidP="00A17D0C">
      <w:r>
        <w:t>technology-enabled stalking and harassment after separation;</w:t>
      </w:r>
    </w:p>
    <w:p w14:paraId="4BEFDE8D" w14:textId="77777777" w:rsidR="00A17D0C" w:rsidRDefault="00A17D0C" w:rsidP="00A17D0C">
      <w:r>
        <w:t>misuse of parenting applications and family law communications;</w:t>
      </w:r>
    </w:p>
    <w:p w14:paraId="4C39A46F" w14:textId="77777777" w:rsidR="00A17D0C" w:rsidRDefault="00A17D0C" w:rsidP="00A17D0C">
      <w:r>
        <w:t>use of children, relatives, workplaces or services to monitor or pressure a victim-survivor;</w:t>
      </w:r>
    </w:p>
    <w:p w14:paraId="5A660EAA" w14:textId="77777777" w:rsidR="00A17D0C" w:rsidRDefault="00A17D0C" w:rsidP="00A17D0C">
      <w:r>
        <w:t>systems abuse through repeated proceedings, complaints or referrals; and</w:t>
      </w:r>
    </w:p>
    <w:p w14:paraId="6DBBFA09" w14:textId="2F490914" w:rsidR="00A17D0C" w:rsidRDefault="00A17D0C" w:rsidP="00A17D0C">
      <w:r>
        <w:t>misidentification of the predominant aggressor.</w:t>
      </w:r>
    </w:p>
    <w:p w14:paraId="03D7939C" w14:textId="1FEE1D5C" w:rsidR="00A17D0C" w:rsidRDefault="00A17D0C" w:rsidP="00A17D0C">
      <w:r>
        <w:t>Technology-facilitated abuse should not be treated as a separate or less serious form of violence. It is often part of a broader pattern of coercive control.</w:t>
      </w:r>
    </w:p>
    <w:p w14:paraId="2D1FB942" w14:textId="0CE904C7" w:rsidR="00A17D0C" w:rsidRDefault="00A17D0C" w:rsidP="00A17D0C">
      <w:r>
        <w:t>Workforce capability should include coercive control, technology-facilitated abuse, sexual violence, systems abuse, misidentification and intersectionality. Safe practice also requires supervision, specialist consultation and organisational systems—not training alone.</w:t>
      </w:r>
    </w:p>
    <w:p w14:paraId="33367945" w14:textId="6268FC2A" w:rsidR="00A17D0C" w:rsidRDefault="00A17D0C" w:rsidP="00A17D0C">
      <w:r>
        <w:t>Addressing the needs of diverse communities</w:t>
      </w:r>
    </w:p>
    <w:p w14:paraId="159440F3" w14:textId="709EC819" w:rsidR="00A17D0C" w:rsidRDefault="00A17D0C" w:rsidP="00A17D0C">
      <w:r>
        <w:t>First Nations responses must be Aboriginal-led and, wherever possible, delivered through Aboriginal Community Controlled Organisations. Investment should support self-determination, healing-centred approaches and community-defined outcomes. Mainstream services should develop accountable partnerships with Aboriginal organisations rather than attempting to lead First Nations responses.</w:t>
      </w:r>
    </w:p>
    <w:p w14:paraId="6E4B405F" w14:textId="166F560E" w:rsidR="00A17D0C" w:rsidRDefault="00A17D0C" w:rsidP="00A17D0C">
      <w:r>
        <w:t xml:space="preserve">For migrant and refugee communities, culturally responsive practice requires more than translated information. It may include bilingual and bicultural practitioners, qualified interpreters, partnerships with trusted community organisations and an understanding </w:t>
      </w:r>
      <w:r>
        <w:lastRenderedPageBreak/>
        <w:t>of migration, settlement, visa and community pressures. Cultural context must never be used to excuse violence or reduce accountability.</w:t>
      </w:r>
    </w:p>
    <w:p w14:paraId="66C8C489" w14:textId="48450B03" w:rsidR="00A17D0C" w:rsidRDefault="00A17D0C" w:rsidP="00A17D0C">
      <w:r>
        <w:t>People with disability may experience violence through the withholding of care, medication, money, transport, communication devices or mobility aids. Services must be physically and digitally accessible and capable of identifying coercion within care and dependency relationships.</w:t>
      </w:r>
    </w:p>
    <w:p w14:paraId="158CD5FD" w14:textId="1BC44736" w:rsidR="00A17D0C" w:rsidRDefault="00A17D0C" w:rsidP="00A17D0C">
      <w:r>
        <w:t>LGBTIQA+ victim-survivors may experience identity-based abuse, threats of outing, control of gender-affirming care or the use of discrimination and family rejection as methods of coercion. Services must not rely on heterosexual or gender-binary assumptions.</w:t>
      </w:r>
    </w:p>
    <w:p w14:paraId="531925AD" w14:textId="53ECA348" w:rsidR="00A17D0C" w:rsidRDefault="00A17D0C" w:rsidP="00A17D0C">
      <w:r>
        <w:t>Family and Relationship Services can provide additional accessible entry points for diverse communities, particularly when people seek help for family, parenting, relationship or separation concerns. This role should be supported through co-design, cultural capability, specialist partnerships and sustainable funding.</w:t>
      </w:r>
    </w:p>
    <w:p w14:paraId="22825A31" w14:textId="3840D1A1" w:rsidR="00A17D0C" w:rsidRDefault="00A17D0C" w:rsidP="00A17D0C">
      <w:r>
        <w:t>Family-violence-informed LAFDR</w:t>
      </w:r>
    </w:p>
    <w:p w14:paraId="6755ECBF" w14:textId="29B6EA7A" w:rsidR="00A17D0C" w:rsidRDefault="00A17D0C" w:rsidP="00A17D0C">
      <w:r>
        <w:t>For carefully assessed and suitable matters, family-violence-informed Legally Assisted Family Dispute Resolution may provide an alternative between standard mediation and prolonged adversarial litigation.</w:t>
      </w:r>
    </w:p>
    <w:p w14:paraId="486131A3" w14:textId="694E0DC1" w:rsidR="00A17D0C" w:rsidRDefault="00A17D0C" w:rsidP="00A17D0C">
      <w:r>
        <w:t>Any expansion must include rigorous screening, dynamic risk assessment, independent legal advice, family violence support, culturally responsive practice, flexible participation arrangements, a child-focused approach and clear authority to pause or end the process. The option not to mediate must always remain available.</w:t>
      </w:r>
    </w:p>
    <w:p w14:paraId="2455721F" w14:textId="7272913B" w:rsidR="00A17D0C" w:rsidRDefault="00A17D0C" w:rsidP="00A17D0C">
      <w:r>
        <w:t>The Second Action Plan should support independent evaluation of existing models and the development of national design principles before broader scaling.</w:t>
      </w:r>
    </w:p>
    <w:p w14:paraId="32446A9A" w14:textId="303A88C2" w:rsidR="00A17D0C" w:rsidRDefault="00A17D0C" w:rsidP="00A17D0C">
      <w:r>
        <w:t>Recommended actions</w:t>
      </w:r>
    </w:p>
    <w:p w14:paraId="5C81C223" w14:textId="509D4BEC" w:rsidR="00A17D0C" w:rsidRDefault="00A17D0C" w:rsidP="00A17D0C">
      <w:r>
        <w:t>Relationship Matters recommends that the Second Action Plan:</w:t>
      </w:r>
    </w:p>
    <w:p w14:paraId="7901AD60" w14:textId="77777777" w:rsidR="00A17D0C" w:rsidRDefault="00A17D0C" w:rsidP="00A17D0C">
      <w:r>
        <w:t>Recognise Family and Relationship Services as core early-intervention infrastructure.</w:t>
      </w:r>
    </w:p>
    <w:p w14:paraId="506534F5" w14:textId="77777777" w:rsidR="00A17D0C" w:rsidRDefault="00A17D0C" w:rsidP="00A17D0C">
      <w:r>
        <w:t>Fund identification, risk assessment, safety planning, secondary consultation, warm referral and continuity of care as core activities.</w:t>
      </w:r>
    </w:p>
    <w:p w14:paraId="55AD8939" w14:textId="77777777" w:rsidR="00A17D0C" w:rsidRDefault="00A17D0C" w:rsidP="00A17D0C">
      <w:r>
        <w:t>Establish formal “no wrong door” pathways across family violence, family relationship, family law, legal, health, housing and child and family systems.</w:t>
      </w:r>
    </w:p>
    <w:p w14:paraId="7D7630F6" w14:textId="77777777" w:rsidR="00A17D0C" w:rsidRDefault="00A17D0C" w:rsidP="00A17D0C">
      <w:r>
        <w:t>Align DSS and Attorney-General’s Department reforms affecting the same families.</w:t>
      </w:r>
    </w:p>
    <w:p w14:paraId="3A4144BB" w14:textId="77777777" w:rsidR="00A17D0C" w:rsidRDefault="00A17D0C" w:rsidP="00A17D0C">
      <w:r>
        <w:t>Strengthen responses to coercive control, technology-facilitated abuse, systems abuse and misidentification.</w:t>
      </w:r>
    </w:p>
    <w:p w14:paraId="74F67B0B" w14:textId="77777777" w:rsidR="00A17D0C" w:rsidRDefault="00A17D0C" w:rsidP="00A17D0C">
      <w:r>
        <w:lastRenderedPageBreak/>
        <w:t>Fund Aboriginal-led responses and co-designed, accessible approaches for diverse communities.</w:t>
      </w:r>
    </w:p>
    <w:p w14:paraId="3C3F3A79" w14:textId="77777777" w:rsidR="00A17D0C" w:rsidRDefault="00A17D0C" w:rsidP="00A17D0C">
      <w:r>
        <w:t>Independently evaluate family-violence-informed LAFDR for suitable matters.</w:t>
      </w:r>
    </w:p>
    <w:p w14:paraId="4E816FAA" w14:textId="562ACF46" w:rsidR="00A17D0C" w:rsidRPr="00A17D0C" w:rsidRDefault="00A17D0C" w:rsidP="00A17D0C">
      <w:pPr>
        <w:rPr>
          <w:b/>
          <w:bCs/>
        </w:rPr>
      </w:pPr>
      <w:r w:rsidRPr="00A17D0C">
        <w:rPr>
          <w:b/>
          <w:bCs/>
        </w:rPr>
        <w:t>Feedback for Priority Area 2: Prevention and early intervention</w:t>
      </w:r>
    </w:p>
    <w:p w14:paraId="2E7D416B" w14:textId="435EA458" w:rsidR="00A17D0C" w:rsidRDefault="00A17D0C" w:rsidP="00A17D0C">
      <w:r>
        <w:t>Australia will not end violence through crisis, specialist and justice responses alone. The Second Action Plan must invest in the settings where harmful attitudes and behaviours can be recognised and addressed before violence escalates or becomes entrenched.</w:t>
      </w:r>
    </w:p>
    <w:p w14:paraId="3381FD94" w14:textId="20D39DBC" w:rsidR="00A17D0C" w:rsidRDefault="00A17D0C" w:rsidP="00A17D0C">
      <w:r>
        <w:t>Family and Relationship Services are central to this opportunity. People often approach these services voluntarily because of relationship difficulties, parenting concerns, separation, communication problems or family stress. They may do so before police, courts or specialist family violence services become involved.</w:t>
      </w:r>
    </w:p>
    <w:p w14:paraId="5516A39C" w14:textId="7156FFFF" w:rsidR="00A17D0C" w:rsidRDefault="00A17D0C" w:rsidP="00A17D0C">
      <w:r>
        <w:t>Relationship Matters recommends that these services be commissioned to undertake defined early-intervention functions, supported by specialist expertise and clear safety and escalation pathways.</w:t>
      </w:r>
    </w:p>
    <w:p w14:paraId="7BE28AA9" w14:textId="31A7DD83" w:rsidR="00A17D0C" w:rsidRDefault="00A17D0C" w:rsidP="00A17D0C">
      <w:r>
        <w:t>What would make the biggest difference?</w:t>
      </w:r>
    </w:p>
    <w:p w14:paraId="236A1D06" w14:textId="0FE9B872" w:rsidR="00A17D0C" w:rsidRDefault="00A17D0C" w:rsidP="00A17D0C">
      <w:r>
        <w:t>The biggest difference would be the creation of a connected prevention and early-intervention system that can safely engage people showing harmful or controlling behaviour at different stages of risk and readiness.</w:t>
      </w:r>
    </w:p>
    <w:p w14:paraId="3E43E4A8" w14:textId="14559654" w:rsidR="00A17D0C" w:rsidRDefault="00A17D0C" w:rsidP="00A17D0C">
      <w:r>
        <w:t>Most people using violence do not initially seek a Men’s Behaviour Change Program. Some first present to counselling, parenting, family, health, mental health, workplace or community services. These points of contact should be equipped to recognise concerns, conduct accountability-oriented conversations and connect people with an appropriate intervention.</w:t>
      </w:r>
    </w:p>
    <w:p w14:paraId="3D75B850" w14:textId="3274CEBC" w:rsidR="00A17D0C" w:rsidRDefault="00A17D0C" w:rsidP="00A17D0C">
      <w:r>
        <w:t>Family and Relationship Services should be funded to provide:</w:t>
      </w:r>
    </w:p>
    <w:p w14:paraId="682C980C" w14:textId="77777777" w:rsidR="00A17D0C" w:rsidRDefault="00A17D0C" w:rsidP="00A17D0C">
      <w:r>
        <w:t>early identification of harmful and controlling behaviour;</w:t>
      </w:r>
    </w:p>
    <w:p w14:paraId="11D1ED0A" w14:textId="77777777" w:rsidR="00A17D0C" w:rsidRDefault="00A17D0C" w:rsidP="00A17D0C">
      <w:r>
        <w:t>safe, direct and accountability-focused conversations;</w:t>
      </w:r>
    </w:p>
    <w:p w14:paraId="3D7F4298" w14:textId="77777777" w:rsidR="00A17D0C" w:rsidRDefault="00A17D0C" w:rsidP="00A17D0C">
      <w:r>
        <w:t>brief and motivational interventions;</w:t>
      </w:r>
    </w:p>
    <w:p w14:paraId="562A9044" w14:textId="77777777" w:rsidR="00A17D0C" w:rsidRDefault="00A17D0C" w:rsidP="00A17D0C">
      <w:r>
        <w:t>initial and ongoing risk assessment;</w:t>
      </w:r>
    </w:p>
    <w:p w14:paraId="39ED72BF" w14:textId="77777777" w:rsidR="00A17D0C" w:rsidRDefault="00A17D0C" w:rsidP="00A17D0C">
      <w:r>
        <w:t>active referral to specialist interventions;</w:t>
      </w:r>
    </w:p>
    <w:p w14:paraId="6557CE65" w14:textId="77777777" w:rsidR="00A17D0C" w:rsidRDefault="00A17D0C" w:rsidP="00A17D0C">
      <w:r>
        <w:t>follow-up where a person does not engage or disengages;</w:t>
      </w:r>
    </w:p>
    <w:p w14:paraId="7495DDB1" w14:textId="77777777" w:rsidR="00A17D0C" w:rsidRDefault="00A17D0C" w:rsidP="00A17D0C">
      <w:r>
        <w:t>support for co-occurring practical needs; and</w:t>
      </w:r>
    </w:p>
    <w:p w14:paraId="3466C9CF" w14:textId="77777777" w:rsidR="00A17D0C" w:rsidRDefault="00A17D0C" w:rsidP="00A17D0C">
      <w:r>
        <w:t>coordination with services supporting victim-survivors and children.</w:t>
      </w:r>
    </w:p>
    <w:p w14:paraId="353DAB9A" w14:textId="462BE14E" w:rsidR="00A17D0C" w:rsidRDefault="00A17D0C" w:rsidP="00A17D0C">
      <w:r>
        <w:lastRenderedPageBreak/>
        <w:t>Early intervention must not be equated with low seriousness. Risk can be underestimated where assessment focuses on isolated incidents rather than patterns of coercive control. All models require dynamic assessment, victim-survivor safety safeguards and clear escalation pathways.</w:t>
      </w:r>
    </w:p>
    <w:p w14:paraId="33E2A5C8" w14:textId="1C6F5377" w:rsidR="00A17D0C" w:rsidRDefault="00A17D0C" w:rsidP="00A17D0C">
      <w:r>
        <w:t>Strengthening prevention at multiple levels</w:t>
      </w:r>
    </w:p>
    <w:p w14:paraId="7FA1BC30" w14:textId="75E1C5CF" w:rsidR="00A17D0C" w:rsidRDefault="00A17D0C" w:rsidP="00A17D0C">
      <w:r>
        <w:t>At the individual and family level, people need opportunities to recognise and address controlling, intimidating or harmful behaviour before it becomes further established. Practitioners need clear models for distinguishing relationship conflict from patterned abuse, raising concerns without collusion, responding to denial and minimisation and maintaining responsibility with the person using violence.</w:t>
      </w:r>
    </w:p>
    <w:p w14:paraId="4F53B350" w14:textId="716E7E46" w:rsidR="00A17D0C" w:rsidRDefault="00A17D0C" w:rsidP="00A17D0C">
      <w:r>
        <w:t>At the community level, trusted cultural, faith, sporting and community organisations can challenge harmful norms and encourage early help-seeking. They should have access to specialist guidance and referral pathways rather than being expected to manage family violence risk themselves.</w:t>
      </w:r>
    </w:p>
    <w:p w14:paraId="433C7F93" w14:textId="36EF28CF" w:rsidR="00A17D0C" w:rsidRDefault="00A17D0C" w:rsidP="00A17D0C">
      <w:r>
        <w:t>At the organisational level, schools, workplaces, health services and community organisations require practical procedures, specialist consultation and confidential support pathways. Awareness campaigns and policies are not enough if staff do not know how to respond when concerns are disclosed or identified.</w:t>
      </w:r>
    </w:p>
    <w:p w14:paraId="58341E29" w14:textId="0FFD5DE6" w:rsidR="00A17D0C" w:rsidRDefault="00A17D0C" w:rsidP="00A17D0C">
      <w:r>
        <w:t xml:space="preserve">At the institutional and societal levels, prevention should continue to address gender inequality, rigid gender roles, racism, discrimination and other conditions that enable violence. These strategies should </w:t>
      </w:r>
      <w:proofErr w:type="gramStart"/>
      <w:r>
        <w:t>be connected with</w:t>
      </w:r>
      <w:proofErr w:type="gramEnd"/>
      <w:r>
        <w:t xml:space="preserve"> services that people can access when they recognise harmful behaviour in themselves or others.</w:t>
      </w:r>
    </w:p>
    <w:p w14:paraId="633901EA" w14:textId="06080C16" w:rsidR="00A17D0C" w:rsidRDefault="00A17D0C" w:rsidP="00A17D0C">
      <w:r>
        <w:t>Existing service infrastructure should be strengthened rather than bypassed through repeated short-term initiatives. Family and Relationship Services already deliver counselling, parenting, family law and behaviour-change interventions. Investment should build their early-intervention capability while preserving specialist family violence leadership and Aboriginal self-determination.</w:t>
      </w:r>
    </w:p>
    <w:p w14:paraId="56992CF1" w14:textId="7DC45F10" w:rsidR="00A17D0C" w:rsidRDefault="00A17D0C" w:rsidP="00A17D0C">
      <w:r>
        <w:t>Supporting recognition and response across settings</w:t>
      </w:r>
    </w:p>
    <w:p w14:paraId="27C7FB15" w14:textId="717FD60E" w:rsidR="00A17D0C" w:rsidRDefault="00A17D0C" w:rsidP="00A17D0C">
      <w:r>
        <w:t>Governments should establish clear expectations for early identification, safe engagement, referral and accountability across relevant service systems. Commissioning must fund the time required for assessment, coordination, secondary consultation and follow-up.</w:t>
      </w:r>
    </w:p>
    <w:p w14:paraId="6F926305" w14:textId="5043D0FE" w:rsidR="00A17D0C" w:rsidRDefault="00A17D0C" w:rsidP="00A17D0C">
      <w:r>
        <w:t>Schools should provide age-appropriate respectful relationships education that addresses coercion, consent, sexual violence, online abuse and harmful gendered attitudes. They also need pathways for responding when students disclose violence at home or demonstrate harmful behaviour in their own relationships.</w:t>
      </w:r>
    </w:p>
    <w:p w14:paraId="03456FFC" w14:textId="54B58E7E" w:rsidR="00A17D0C" w:rsidRDefault="00A17D0C" w:rsidP="00A17D0C">
      <w:r>
        <w:lastRenderedPageBreak/>
        <w:t>Workplaces are an underused early-intervention setting. Family violence may become visible through changes in attendance, performance, safety or wellbeing. Workplace time, systems and technology may also be used to perpetrate abuse.</w:t>
      </w:r>
    </w:p>
    <w:p w14:paraId="1EE0413A" w14:textId="54285908" w:rsidR="00A17D0C" w:rsidRDefault="00A17D0C" w:rsidP="00A17D0C">
      <w:r>
        <w:t>Employers should be supported to:</w:t>
      </w:r>
    </w:p>
    <w:p w14:paraId="1C331CD3" w14:textId="77777777" w:rsidR="00A17D0C" w:rsidRDefault="00A17D0C" w:rsidP="00A17D0C">
      <w:r>
        <w:t>recognise indicators and respond safely;</w:t>
      </w:r>
    </w:p>
    <w:p w14:paraId="6FE57A74" w14:textId="77777777" w:rsidR="00A17D0C" w:rsidRDefault="00A17D0C" w:rsidP="00A17D0C">
      <w:r>
        <w:t>provide confidential specialist support;</w:t>
      </w:r>
    </w:p>
    <w:p w14:paraId="5197AFFF" w14:textId="77777777" w:rsidR="00A17D0C" w:rsidRDefault="00A17D0C" w:rsidP="00A17D0C">
      <w:r>
        <w:t>manage workplace safety risks;</w:t>
      </w:r>
    </w:p>
    <w:p w14:paraId="4347AD37" w14:textId="77777777" w:rsidR="00A17D0C" w:rsidRDefault="00A17D0C" w:rsidP="00A17D0C">
      <w:r>
        <w:t>assist employees affected by family violence;</w:t>
      </w:r>
    </w:p>
    <w:p w14:paraId="2FCD002E" w14:textId="77777777" w:rsidR="00A17D0C" w:rsidRDefault="00A17D0C" w:rsidP="00A17D0C">
      <w:r>
        <w:t>respond appropriately when an employee raises concerns about their own behaviour; and</w:t>
      </w:r>
    </w:p>
    <w:p w14:paraId="40997758" w14:textId="2AEC58E8" w:rsidR="00A17D0C" w:rsidRDefault="00A17D0C" w:rsidP="00A17D0C">
      <w:r>
        <w:t>connect employees with specialist services.</w:t>
      </w:r>
    </w:p>
    <w:p w14:paraId="1D95DECA" w14:textId="481B7D52" w:rsidR="00A17D0C" w:rsidRDefault="00A17D0C" w:rsidP="00A17D0C">
      <w:r>
        <w:t>Employers should not assess family violence risk or deliver behaviour-change treatment. Their role is to recognise, respond, manage workplace impacts and facilitate specialist support.</w:t>
      </w:r>
    </w:p>
    <w:p w14:paraId="5F390C6A" w14:textId="61A37FBD" w:rsidR="00A17D0C" w:rsidRDefault="00A17D0C" w:rsidP="00A17D0C">
      <w:r>
        <w:t>Online platforms should make it easier to report abuse, secure accounts, preserve evidence and prevent repeated harmful contact. They should respond more effectively to stalking, impersonation, image-based abuse, harassment and coordinated misogynistic content.</w:t>
      </w:r>
    </w:p>
    <w:p w14:paraId="12856D0D" w14:textId="58686467" w:rsidR="00A17D0C" w:rsidRDefault="00A17D0C" w:rsidP="00A17D0C">
      <w:r>
        <w:t>Across all settings, increased awareness must be matched by available support. Encouraging recognition and disclosure without timely service pathways will not improve safety or accountability.</w:t>
      </w:r>
    </w:p>
    <w:p w14:paraId="23B558AD" w14:textId="77777777" w:rsidR="00A17D0C" w:rsidRDefault="00A17D0C" w:rsidP="00A17D0C">
      <w:r>
        <w:t>Promising prevention and early-intervention approaches</w:t>
      </w:r>
    </w:p>
    <w:p w14:paraId="4A5D75BE" w14:textId="37E0AF17" w:rsidR="00A17D0C" w:rsidRDefault="00A17D0C" w:rsidP="00A17D0C">
      <w:r>
        <w:t>A risk-responsive intervention continuum</w:t>
      </w:r>
    </w:p>
    <w:p w14:paraId="493B55AA" w14:textId="41A9DFDE" w:rsidR="00A17D0C" w:rsidRDefault="00A17D0C" w:rsidP="00A17D0C">
      <w:r>
        <w:t>The Second Action Plan should fund a continuum in which the type and intensity of intervention can change as risk, engagement and circumstances change. This should include:</w:t>
      </w:r>
    </w:p>
    <w:p w14:paraId="0452314E" w14:textId="77777777" w:rsidR="00A17D0C" w:rsidRDefault="00A17D0C" w:rsidP="00A17D0C">
      <w:r>
        <w:t>brief and motivational interventions for emerging concerns;</w:t>
      </w:r>
    </w:p>
    <w:p w14:paraId="603A28F1" w14:textId="77777777" w:rsidR="00A17D0C" w:rsidRDefault="00A17D0C" w:rsidP="00A17D0C">
      <w:r>
        <w:t>assessment and readiness work;</w:t>
      </w:r>
    </w:p>
    <w:p w14:paraId="32419AD1" w14:textId="77777777" w:rsidR="00A17D0C" w:rsidRDefault="00A17D0C" w:rsidP="00A17D0C">
      <w:r>
        <w:t>individual counselling;</w:t>
      </w:r>
    </w:p>
    <w:p w14:paraId="19DD01AB" w14:textId="77777777" w:rsidR="00A17D0C" w:rsidRDefault="00A17D0C" w:rsidP="00A17D0C">
      <w:r>
        <w:t>structured group and individual behaviour-change programs;</w:t>
      </w:r>
    </w:p>
    <w:p w14:paraId="4E95CA5F" w14:textId="77777777" w:rsidR="00A17D0C" w:rsidRDefault="00A17D0C" w:rsidP="00A17D0C">
      <w:r>
        <w:t>case management;</w:t>
      </w:r>
    </w:p>
    <w:p w14:paraId="638182C4" w14:textId="77777777" w:rsidR="00A17D0C" w:rsidRDefault="00A17D0C" w:rsidP="00A17D0C">
      <w:r>
        <w:t>independent partner and family safety contact;</w:t>
      </w:r>
    </w:p>
    <w:p w14:paraId="7A827463" w14:textId="77777777" w:rsidR="00A17D0C" w:rsidRDefault="00A17D0C" w:rsidP="00A17D0C">
      <w:r>
        <w:lastRenderedPageBreak/>
        <w:t>coordinated responses for high-risk matters; and</w:t>
      </w:r>
    </w:p>
    <w:p w14:paraId="2258718B" w14:textId="2CFE31AC" w:rsidR="00A17D0C" w:rsidRDefault="00A17D0C" w:rsidP="00A17D0C">
      <w:r>
        <w:t>post-program maintenance and re-engagement.</w:t>
      </w:r>
    </w:p>
    <w:p w14:paraId="074FAC32" w14:textId="2EC46E26" w:rsidR="00A17D0C" w:rsidRDefault="00A17D0C" w:rsidP="00A17D0C">
      <w:r>
        <w:t>Brief intervention may help engage a person while they are waiting for, or being connected to, longer-term support. It must not replace a Men’s Behaviour Change Program or intensive response where patterned or higher-risk violence is present.</w:t>
      </w:r>
    </w:p>
    <w:p w14:paraId="5382074D" w14:textId="40C27967" w:rsidR="00A17D0C" w:rsidRDefault="00A17D0C" w:rsidP="00A17D0C">
      <w:r>
        <w:t>Strengthening Men’s Behaviour Change Programs</w:t>
      </w:r>
    </w:p>
    <w:p w14:paraId="5DE7D19C" w14:textId="5BB7EEA6" w:rsidR="00A17D0C" w:rsidRDefault="00A17D0C" w:rsidP="00A17D0C">
      <w:r>
        <w:t>MBCPs should be funded as complete intervention pathways rather than primarily as group attendance.</w:t>
      </w:r>
    </w:p>
    <w:p w14:paraId="278BDA62" w14:textId="3A4B444D" w:rsidR="00A17D0C" w:rsidRDefault="00A17D0C" w:rsidP="00A17D0C">
      <w:r>
        <w:t>Core components should include comprehensive assessment, pre-group readiness work, individual sessions, case management, practical support, independent partner and family safety contact, active follow-up after disengagement and post-program maintenance.</w:t>
      </w:r>
    </w:p>
    <w:p w14:paraId="7BDBBF3D" w14:textId="74880A52" w:rsidR="00A17D0C" w:rsidRDefault="00A17D0C" w:rsidP="00A17D0C">
      <w:r>
        <w:t>Program completion should not be treated as equivalent to sustained behaviour change. Outcomes should examine victim-survivor and child safety, reduced coercive behaviour, increased accountability and change over time.</w:t>
      </w:r>
    </w:p>
    <w:p w14:paraId="3757948D" w14:textId="2200EF84" w:rsidR="00A17D0C" w:rsidRDefault="00A17D0C" w:rsidP="00A17D0C">
      <w:r>
        <w:t>Integrated regional models</w:t>
      </w:r>
    </w:p>
    <w:p w14:paraId="08B685BD" w14:textId="18F15B05" w:rsidR="00A17D0C" w:rsidRDefault="00A17D0C" w:rsidP="00A17D0C">
      <w:r>
        <w:t>Regional demonstration sites should connect counselling, parenting, family law, specialist family violence services, legal assistance and interventions for people using violence.</w:t>
      </w:r>
    </w:p>
    <w:p w14:paraId="64483545" w14:textId="7E3D8DE7" w:rsidR="00A17D0C" w:rsidRDefault="00A17D0C" w:rsidP="00A17D0C">
      <w:r>
        <w:t>These sites could test how people move between different levels of support without repeated assessment, referral loops or loss of visibility when they disengage.</w:t>
      </w:r>
    </w:p>
    <w:p w14:paraId="7E1DD9F4" w14:textId="1A79D4E0" w:rsidR="00A17D0C" w:rsidRDefault="00A17D0C" w:rsidP="00A17D0C">
      <w:r>
        <w:t>Workplace early intervention</w:t>
      </w:r>
    </w:p>
    <w:p w14:paraId="4CD4058F" w14:textId="4EE855E3" w:rsidR="00A17D0C" w:rsidRDefault="00A17D0C" w:rsidP="00A17D0C">
      <w:r>
        <w:t>Specialist workplace family violence EAP models are promising because they combine confidential employee support with organisational capability.</w:t>
      </w:r>
    </w:p>
    <w:p w14:paraId="21B975E9" w14:textId="4233CE5D" w:rsidR="00A17D0C" w:rsidRDefault="00A17D0C" w:rsidP="00A17D0C">
      <w:r>
        <w:t>These models can support victim-survivors, provide pathways for employees concerned about their own harmful behaviour and assist managers and human resources staff to respond safely. Specific models are needed for small and medium-sized employers that cannot establish substantial internal capability.</w:t>
      </w:r>
    </w:p>
    <w:p w14:paraId="41BDCCAB" w14:textId="5880AB03" w:rsidR="00A17D0C" w:rsidRDefault="00A17D0C" w:rsidP="00A17D0C">
      <w:r>
        <w:t>Tailored and community-led approaches</w:t>
      </w:r>
    </w:p>
    <w:p w14:paraId="2201B62D" w14:textId="5B2D7B23" w:rsidR="00A17D0C" w:rsidRDefault="00A17D0C" w:rsidP="00A17D0C">
      <w:r>
        <w:t>Prevention and early intervention must be adapted for Aboriginal and Torres Strait Islander communities, migrant and refugee communities, LGBTIQA+ people, people with disability, adolescents and other cohorts.</w:t>
      </w:r>
    </w:p>
    <w:p w14:paraId="179E01F6" w14:textId="7AD9E0E0" w:rsidR="00A17D0C" w:rsidRDefault="00A17D0C" w:rsidP="00A17D0C">
      <w:r>
        <w:t xml:space="preserve">First Nations approaches must be Aboriginal-led and preferably community-controlled. Other tailored models should be co-designed and may require bilingual or bicultural </w:t>
      </w:r>
      <w:r>
        <w:lastRenderedPageBreak/>
        <w:t>practitioners, interpreters, accessible formats, different engagement methods and partnerships with trusted organisations.</w:t>
      </w:r>
    </w:p>
    <w:p w14:paraId="49ECB709" w14:textId="1394F88C" w:rsidR="00A17D0C" w:rsidRDefault="00A17D0C" w:rsidP="00A17D0C">
      <w:r>
        <w:t>Emerging issues</w:t>
      </w:r>
    </w:p>
    <w:p w14:paraId="61777D34" w14:textId="550FE069" w:rsidR="00A17D0C" w:rsidRDefault="00A17D0C" w:rsidP="00A17D0C">
      <w:r>
        <w:t>The Second Action Plan should address:</w:t>
      </w:r>
    </w:p>
    <w:p w14:paraId="400B2BB4" w14:textId="77777777" w:rsidR="00A17D0C" w:rsidRDefault="00A17D0C" w:rsidP="00A17D0C">
      <w:r>
        <w:t>online communities that normalise misogyny, control and violence;</w:t>
      </w:r>
    </w:p>
    <w:p w14:paraId="07985CE1" w14:textId="77777777" w:rsidR="00A17D0C" w:rsidRDefault="00A17D0C" w:rsidP="00A17D0C">
      <w:r>
        <w:t>children and young people’s exposure to harmful gendered content;</w:t>
      </w:r>
    </w:p>
    <w:p w14:paraId="7B2FD7F6" w14:textId="77777777" w:rsidR="00A17D0C" w:rsidRDefault="00A17D0C" w:rsidP="00A17D0C">
      <w:r>
        <w:t>artificial intelligence-generated sexualised or abusive material;</w:t>
      </w:r>
    </w:p>
    <w:p w14:paraId="757CE95B" w14:textId="77777777" w:rsidR="00A17D0C" w:rsidRDefault="00A17D0C" w:rsidP="00A17D0C">
      <w:r>
        <w:t>increasingly accessible surveillance and tracking technology;</w:t>
      </w:r>
    </w:p>
    <w:p w14:paraId="541144F7" w14:textId="77777777" w:rsidR="00A17D0C" w:rsidRDefault="00A17D0C" w:rsidP="00A17D0C">
      <w:r>
        <w:t>technology-enabled coercive control;</w:t>
      </w:r>
    </w:p>
    <w:p w14:paraId="358F89C7" w14:textId="77777777" w:rsidR="00A17D0C" w:rsidRDefault="00A17D0C" w:rsidP="00A17D0C">
      <w:r>
        <w:t>systems abuse through legal, service and complaint processes;</w:t>
      </w:r>
    </w:p>
    <w:p w14:paraId="5EA56D29" w14:textId="77777777" w:rsidR="00A17D0C" w:rsidRDefault="00A17D0C" w:rsidP="00A17D0C">
      <w:r>
        <w:t>misidentification of victim-survivors;</w:t>
      </w:r>
    </w:p>
    <w:p w14:paraId="0B599DE2" w14:textId="77777777" w:rsidR="00A17D0C" w:rsidRDefault="00A17D0C" w:rsidP="00A17D0C">
      <w:r>
        <w:t>harmful behaviour by adolescents and young people requiring developmentally appropriate responses; and</w:t>
      </w:r>
    </w:p>
    <w:p w14:paraId="18046685" w14:textId="5D20F5E8" w:rsidR="00A17D0C" w:rsidRDefault="00A17D0C" w:rsidP="00A17D0C">
      <w:r>
        <w:t>housing insecurity, cost-of-living pressure and service shortages that make it harder to leave violence or sustain engagement in support.</w:t>
      </w:r>
    </w:p>
    <w:p w14:paraId="058ACF72" w14:textId="5486B659" w:rsidR="00A17D0C" w:rsidRDefault="00A17D0C" w:rsidP="00A17D0C">
      <w:r>
        <w:t>Young people using violence require distinct therapeutic and family-based approaches. Adult perpetrator frameworks and standard adult MBCPs should not simply be applied to adolescents.</w:t>
      </w:r>
    </w:p>
    <w:p w14:paraId="24300625" w14:textId="4F0E51D8" w:rsidR="00A17D0C" w:rsidRDefault="00A17D0C" w:rsidP="00A17D0C">
      <w:r>
        <w:t>Recommended actions</w:t>
      </w:r>
    </w:p>
    <w:p w14:paraId="7ED3BD48" w14:textId="73669951" w:rsidR="00A17D0C" w:rsidRDefault="00A17D0C" w:rsidP="00A17D0C">
      <w:r>
        <w:t>Relationship Matters recommends that the Second Action Plan:</w:t>
      </w:r>
    </w:p>
    <w:p w14:paraId="1C1161D4" w14:textId="77777777" w:rsidR="00A17D0C" w:rsidRDefault="00A17D0C" w:rsidP="00A17D0C">
      <w:r>
        <w:t>Commission Family and Relationship Services to deliver defined early-intervention functions.</w:t>
      </w:r>
    </w:p>
    <w:p w14:paraId="61E2C06E" w14:textId="77777777" w:rsidR="00A17D0C" w:rsidRDefault="00A17D0C" w:rsidP="00A17D0C">
      <w:r>
        <w:t>Fund a risk-responsive continuum from brief intervention to intensive and coordinated responses.</w:t>
      </w:r>
    </w:p>
    <w:p w14:paraId="52FD2190" w14:textId="77777777" w:rsidR="00A17D0C" w:rsidRDefault="00A17D0C" w:rsidP="00A17D0C">
      <w:r>
        <w:t>Extend MBCP funding to assessment, individual work, case management, family safety contact and post-program follow-up.</w:t>
      </w:r>
    </w:p>
    <w:p w14:paraId="4629D284" w14:textId="77777777" w:rsidR="00A17D0C" w:rsidRDefault="00A17D0C" w:rsidP="00A17D0C">
      <w:r>
        <w:t>Es</w:t>
      </w:r>
    </w:p>
    <w:p w14:paraId="73DF9000" w14:textId="2DB9F81D" w:rsidR="00A17D0C" w:rsidRPr="00A17D0C" w:rsidRDefault="00A17D0C" w:rsidP="00A17D0C">
      <w:pPr>
        <w:rPr>
          <w:b/>
          <w:bCs/>
        </w:rPr>
      </w:pPr>
      <w:r w:rsidRPr="00A17D0C">
        <w:rPr>
          <w:b/>
          <w:bCs/>
        </w:rPr>
        <w:t>Feedback for Priority Area 3: Children and young people in their own right</w:t>
      </w:r>
    </w:p>
    <w:p w14:paraId="53FD76D7" w14:textId="4D7DF2FC" w:rsidR="00A17D0C" w:rsidRDefault="00A17D0C" w:rsidP="00A17D0C">
      <w:r>
        <w:t xml:space="preserve">Relationship Matters supports the explicit recognition of children and young people as </w:t>
      </w:r>
      <w:proofErr w:type="gramStart"/>
      <w:r>
        <w:t>victim-survivors in their own right</w:t>
      </w:r>
      <w:proofErr w:type="gramEnd"/>
      <w:r>
        <w:t>.</w:t>
      </w:r>
    </w:p>
    <w:p w14:paraId="3DC4F4AA" w14:textId="77777777" w:rsidR="00A17D0C" w:rsidRDefault="00A17D0C" w:rsidP="00A17D0C"/>
    <w:p w14:paraId="1D7CAAFF" w14:textId="52704055" w:rsidR="00A17D0C" w:rsidRDefault="00A17D0C" w:rsidP="00A17D0C">
      <w:r>
        <w:lastRenderedPageBreak/>
        <w:t>Their safety, recovery and wellbeing needs should not be treated only as an extension of the needs of an adult victim-survivor, nor should children exposed to violence be viewed primarily through the lens of future risk. The Second Action Plan should ensure that children and young people are directly seen, heard and supported across family violence, family law, counselling, education, health and child and family service systems.</w:t>
      </w:r>
    </w:p>
    <w:p w14:paraId="137B9185" w14:textId="3760E7E1" w:rsidR="00A17D0C" w:rsidRDefault="00A17D0C" w:rsidP="00A17D0C">
      <w:r>
        <w:t>What would make the biggest difference to safety, recovery and wellbeing?</w:t>
      </w:r>
    </w:p>
    <w:p w14:paraId="01D8609D" w14:textId="1BAC64E7" w:rsidR="00A17D0C" w:rsidRDefault="00A17D0C" w:rsidP="00A17D0C">
      <w:r>
        <w:t>The biggest difference would be earlier identification, access to dedicated therapeutic support and stronger coordination between the services involved in a child or young person’s life.</w:t>
      </w:r>
    </w:p>
    <w:p w14:paraId="295868E3" w14:textId="3FA7B44E" w:rsidR="00A17D0C" w:rsidRDefault="00A17D0C" w:rsidP="00A17D0C">
      <w:r>
        <w:t>Children and young people may experience direct violence, coercive control, fear, disrupted relationships, housing instability, financial hardship, school disruption and ongoing pressure after separation. The impacts may continue even when physical violence has stopped.</w:t>
      </w:r>
    </w:p>
    <w:p w14:paraId="40F1CAC7" w14:textId="1FBCEBA1" w:rsidR="00A17D0C" w:rsidRDefault="00A17D0C" w:rsidP="00A17D0C">
      <w:r>
        <w:t>Responses should therefore address:</w:t>
      </w:r>
    </w:p>
    <w:p w14:paraId="16FD16C0" w14:textId="77777777" w:rsidR="00A17D0C" w:rsidRDefault="00A17D0C" w:rsidP="00A17D0C">
      <w:r>
        <w:t>immediate and ongoing safety;</w:t>
      </w:r>
    </w:p>
    <w:p w14:paraId="065E9128" w14:textId="77777777" w:rsidR="00A17D0C" w:rsidRDefault="00A17D0C" w:rsidP="00A17D0C">
      <w:r>
        <w:t>trauma and emotional wellbeing;</w:t>
      </w:r>
    </w:p>
    <w:p w14:paraId="74F350FE" w14:textId="77777777" w:rsidR="00A17D0C" w:rsidRDefault="00A17D0C" w:rsidP="00A17D0C">
      <w:r>
        <w:t>the child’s relationship with the non-offending parent;</w:t>
      </w:r>
    </w:p>
    <w:p w14:paraId="35771995" w14:textId="77777777" w:rsidR="00A17D0C" w:rsidRDefault="00A17D0C" w:rsidP="00A17D0C">
      <w:r>
        <w:t>disruption to education, friendships and community connection;</w:t>
      </w:r>
    </w:p>
    <w:p w14:paraId="351D45F7" w14:textId="77777777" w:rsidR="00A17D0C" w:rsidRDefault="00A17D0C" w:rsidP="00A17D0C">
      <w:r>
        <w:t>the impacts of coercive control on parenting and family relationships;</w:t>
      </w:r>
    </w:p>
    <w:p w14:paraId="3F11F098" w14:textId="77777777" w:rsidR="00A17D0C" w:rsidRDefault="00A17D0C" w:rsidP="00A17D0C">
      <w:r>
        <w:t>safe contact and parenting arrangements;</w:t>
      </w:r>
    </w:p>
    <w:p w14:paraId="2E47C538" w14:textId="77777777" w:rsidR="00A17D0C" w:rsidRDefault="00A17D0C" w:rsidP="00A17D0C">
      <w:r>
        <w:t>practical needs arising from relocation or family separation; and</w:t>
      </w:r>
    </w:p>
    <w:p w14:paraId="674B69ED" w14:textId="2DA84A6B" w:rsidR="00A17D0C" w:rsidRDefault="00A17D0C" w:rsidP="00A17D0C">
      <w:r>
        <w:t>opportunities for recovery over time.</w:t>
      </w:r>
    </w:p>
    <w:p w14:paraId="482E18A4" w14:textId="2C3BB6ED" w:rsidR="00A17D0C" w:rsidRDefault="00A17D0C" w:rsidP="00A17D0C">
      <w:r>
        <w:t>The Second Action Plan should fund dedicated child and adolescent practitioners within family violence, family relationship and family law services. Children should not be expected to rely solely on an adult parent’s counselling or case plan for their own needs to be recognised.</w:t>
      </w:r>
    </w:p>
    <w:p w14:paraId="24AF0A4F" w14:textId="09E56397" w:rsidR="00A17D0C" w:rsidRDefault="00A17D0C" w:rsidP="00A17D0C">
      <w:r>
        <w:t>Family and Relationship Services are important settings for this work because children and families frequently present through counselling, parenting support, separation and family law pathways. These services should be funded to identify children affected by family violence, provide developmentally appropriate support and connect them with specialist services where required.</w:t>
      </w:r>
    </w:p>
    <w:p w14:paraId="177B12CE" w14:textId="402A41E4" w:rsidR="00A17D0C" w:rsidRDefault="00A17D0C" w:rsidP="00A17D0C">
      <w:r>
        <w:t>Better recognition and response across systems</w:t>
      </w:r>
    </w:p>
    <w:p w14:paraId="2BC05805" w14:textId="302E9DD9" w:rsidR="00A17D0C" w:rsidRDefault="00A17D0C" w:rsidP="00A17D0C">
      <w:r>
        <w:lastRenderedPageBreak/>
        <w:t>Governments should establish clear expectations that all relevant systems recognise children and young people as victim-survivors, while avoiding duplication and repeated assessment.</w:t>
      </w:r>
    </w:p>
    <w:p w14:paraId="753FDD6B" w14:textId="076A5564" w:rsidR="00A17D0C" w:rsidRDefault="00A17D0C" w:rsidP="00A17D0C">
      <w:r>
        <w:t>Services need to understand how family violence affects children through:</w:t>
      </w:r>
    </w:p>
    <w:p w14:paraId="2E1E46C3" w14:textId="77777777" w:rsidR="00A17D0C" w:rsidRDefault="00A17D0C" w:rsidP="00A17D0C">
      <w:r>
        <w:t>direct exposure to violence, threats and intimidation;</w:t>
      </w:r>
    </w:p>
    <w:p w14:paraId="5A8D681A" w14:textId="77777777" w:rsidR="00A17D0C" w:rsidRDefault="00A17D0C" w:rsidP="00A17D0C">
      <w:r>
        <w:t>coercive control of the non-offending parent;</w:t>
      </w:r>
    </w:p>
    <w:p w14:paraId="7DDF8F4C" w14:textId="77777777" w:rsidR="00A17D0C" w:rsidRDefault="00A17D0C" w:rsidP="00A17D0C">
      <w:r>
        <w:t>undermining of parenting and attachment relationships;</w:t>
      </w:r>
    </w:p>
    <w:p w14:paraId="04895F5C" w14:textId="77777777" w:rsidR="00A17D0C" w:rsidRDefault="00A17D0C" w:rsidP="00A17D0C">
      <w:r>
        <w:t>pressure to take sides, provide information or carry messages;</w:t>
      </w:r>
    </w:p>
    <w:p w14:paraId="251BEC91" w14:textId="77777777" w:rsidR="00A17D0C" w:rsidRDefault="00A17D0C" w:rsidP="00A17D0C">
      <w:r>
        <w:t>manipulation of contact and parenting arrangements;</w:t>
      </w:r>
    </w:p>
    <w:p w14:paraId="3B4F4D98" w14:textId="77777777" w:rsidR="00A17D0C" w:rsidRDefault="00A17D0C" w:rsidP="00A17D0C">
      <w:r>
        <w:t>housing, financial and educational instability;</w:t>
      </w:r>
    </w:p>
    <w:p w14:paraId="6C608EAB" w14:textId="77777777" w:rsidR="00A17D0C" w:rsidRDefault="00A17D0C" w:rsidP="00A17D0C">
      <w:r>
        <w:t>technology-enabled monitoring or harassment; and</w:t>
      </w:r>
    </w:p>
    <w:p w14:paraId="01CCB66D" w14:textId="155AA2B7" w:rsidR="00A17D0C" w:rsidRDefault="00A17D0C" w:rsidP="00A17D0C">
      <w:r>
        <w:t>continued abuse through family law and other institutional processes.</w:t>
      </w:r>
    </w:p>
    <w:p w14:paraId="33009686" w14:textId="51210199" w:rsidR="00A17D0C" w:rsidRDefault="00A17D0C" w:rsidP="00A17D0C">
      <w:r>
        <w:t>Relationship Matters’ use of the Safe &amp; Together model has strengthened practice by focusing on the behaviour pattern of the person using violence, recognising the protective efforts of the non-offending parent and identifying the impact on children. This type of child-focused, perpetrator-pattern-based practice should be embedded across adult counselling, family law, family violence and behaviour-change services.</w:t>
      </w:r>
    </w:p>
    <w:p w14:paraId="39D64792" w14:textId="7A47307B" w:rsidR="00A17D0C" w:rsidRDefault="00A17D0C" w:rsidP="00A17D0C">
      <w:r>
        <w:t>Child-inclusive practice and family law responses</w:t>
      </w:r>
    </w:p>
    <w:p w14:paraId="3427ADDE" w14:textId="181BE016" w:rsidR="00A17D0C" w:rsidRDefault="00A17D0C" w:rsidP="00A17D0C">
      <w:r>
        <w:t>The Second Action Plan should support funded child-inclusive practice within family relationship and family law services where it is safe and appropriate.</w:t>
      </w:r>
    </w:p>
    <w:p w14:paraId="403B2739" w14:textId="00707A26" w:rsidR="00A17D0C" w:rsidRDefault="00A17D0C" w:rsidP="00A17D0C">
      <w:r>
        <w:t>Child-inclusive practice can help adults and professionals understand how children are experiencing separation, conflict and family violence. However, it must be undertaken by appropriately skilled practitioners and include safeguards to prevent further harm.</w:t>
      </w:r>
    </w:p>
    <w:p w14:paraId="517A655A" w14:textId="760AA239" w:rsidR="00A17D0C" w:rsidRDefault="00A17D0C" w:rsidP="00A17D0C">
      <w:r>
        <w:t>The Support for Separating Families review’s recommendations for dedicated child practitioners and funded child-inclusive practice provide an important foundation. These reforms should be aligned with the Second Action Plan and DSS family and children program reforms.</w:t>
      </w:r>
    </w:p>
    <w:p w14:paraId="0C1B5037" w14:textId="10FE5B2C" w:rsidR="00A17D0C" w:rsidRDefault="00A17D0C" w:rsidP="00A17D0C">
      <w:r>
        <w:t>In family dispute resolution and Legally Assisted Family Dispute Resolution, children’s safety and wellbeing should be central to screening, case planning and decisions about whether a process is suitable. Agreement rates or court diversion should never take priority over child safety.</w:t>
      </w:r>
    </w:p>
    <w:p w14:paraId="67A5E6D2" w14:textId="08FC6CBF" w:rsidR="00A17D0C" w:rsidRDefault="00A17D0C" w:rsidP="00A17D0C">
      <w:r>
        <w:t>Supporting children and young people who use violence</w:t>
      </w:r>
    </w:p>
    <w:p w14:paraId="0A12C25B" w14:textId="56E492FC" w:rsidR="00A17D0C" w:rsidRDefault="00A17D0C" w:rsidP="00A17D0C">
      <w:r>
        <w:lastRenderedPageBreak/>
        <w:t>Children and young people using violence in the home, in intimate relationships or through harmful sexual behaviours require distinct, developmentally informed responses.</w:t>
      </w:r>
    </w:p>
    <w:p w14:paraId="5AEC9AA4" w14:textId="19E79ED9" w:rsidR="00A17D0C" w:rsidRDefault="00A17D0C" w:rsidP="00A17D0C">
      <w:r>
        <w:t>Adult perpetrator frameworks and standard adult Men’s Behaviour Change Programs should not simply be applied to adolescents. Responses need to consider:</w:t>
      </w:r>
    </w:p>
    <w:p w14:paraId="41F569FB" w14:textId="77777777" w:rsidR="00A17D0C" w:rsidRDefault="00A17D0C" w:rsidP="00A17D0C">
      <w:r>
        <w:t>age and developmental stage;</w:t>
      </w:r>
    </w:p>
    <w:p w14:paraId="7EEFAB4E" w14:textId="77777777" w:rsidR="00A17D0C" w:rsidRDefault="00A17D0C" w:rsidP="00A17D0C">
      <w:r>
        <w:t>the young person’s own experience of victimisation or trauma;</w:t>
      </w:r>
    </w:p>
    <w:p w14:paraId="4B8BC978" w14:textId="77777777" w:rsidR="00A17D0C" w:rsidRDefault="00A17D0C" w:rsidP="00A17D0C">
      <w:r>
        <w:t>neurodiversity, disability and mental health;</w:t>
      </w:r>
    </w:p>
    <w:p w14:paraId="4CBCDD6E" w14:textId="77777777" w:rsidR="00A17D0C" w:rsidRDefault="00A17D0C" w:rsidP="00A17D0C">
      <w:r>
        <w:t>family relationships and parenting capacity;</w:t>
      </w:r>
    </w:p>
    <w:p w14:paraId="0487A0D4" w14:textId="77777777" w:rsidR="00A17D0C" w:rsidRDefault="00A17D0C" w:rsidP="00A17D0C">
      <w:r>
        <w:t>peer and online influences;</w:t>
      </w:r>
    </w:p>
    <w:p w14:paraId="62318CA7" w14:textId="77777777" w:rsidR="00A17D0C" w:rsidRDefault="00A17D0C" w:rsidP="00A17D0C">
      <w:r>
        <w:t>patterns, context and seriousness of the behaviour;</w:t>
      </w:r>
    </w:p>
    <w:p w14:paraId="21EDBFE2" w14:textId="77777777" w:rsidR="00A17D0C" w:rsidRDefault="00A17D0C" w:rsidP="00A17D0C">
      <w:r>
        <w:t>the needs and safety of affected family members or peers; and</w:t>
      </w:r>
    </w:p>
    <w:p w14:paraId="0F082607" w14:textId="65C5A161" w:rsidR="00A17D0C" w:rsidRDefault="00A17D0C" w:rsidP="00A17D0C">
      <w:r>
        <w:t>the young person’s capacity to understand harm and take responsibility.</w:t>
      </w:r>
    </w:p>
    <w:p w14:paraId="25C95E70" w14:textId="69CCE911" w:rsidR="00A17D0C" w:rsidRDefault="00A17D0C" w:rsidP="00A17D0C">
      <w:r>
        <w:t>Effective approaches are likely to include individual therapeutic work, family-based interventions, parenting support, education about consent and respectful relationships, specialist responses to harmful sexual behaviours and coordinated work across schools, health, family and youth services.</w:t>
      </w:r>
    </w:p>
    <w:p w14:paraId="4F63D7E4" w14:textId="7516216A" w:rsidR="00A17D0C" w:rsidRDefault="00A17D0C" w:rsidP="00A17D0C">
      <w:r>
        <w:t>Accountability should remain clear, but it should be developmentally appropriate. Responses should help young people understand the impact of their behaviour, build emotional regulation and relationship skills, make amends where safe and appropriate, and sustain change over time.</w:t>
      </w:r>
    </w:p>
    <w:p w14:paraId="6B226715" w14:textId="6D0CE374" w:rsidR="00A17D0C" w:rsidRDefault="00A17D0C" w:rsidP="00A17D0C">
      <w:r>
        <w:t>Relationship Matters recommends that the Second Action Plan:</w:t>
      </w:r>
    </w:p>
    <w:p w14:paraId="21D9818C" w14:textId="77777777" w:rsidR="00A17D0C" w:rsidRDefault="00A17D0C" w:rsidP="00A17D0C">
      <w:r>
        <w:t xml:space="preserve">Recognise children and young people as victim-survivors </w:t>
      </w:r>
      <w:proofErr w:type="gramStart"/>
      <w:r>
        <w:t>in their own right across</w:t>
      </w:r>
      <w:proofErr w:type="gramEnd"/>
      <w:r>
        <w:t xml:space="preserve"> all relevant systems.</w:t>
      </w:r>
    </w:p>
    <w:p w14:paraId="304BA782" w14:textId="77777777" w:rsidR="00A17D0C" w:rsidRDefault="00A17D0C" w:rsidP="00A17D0C">
      <w:r>
        <w:t>Fund dedicated child and adolescent practitioners within family violence, Family and Relationship Services and family law settings.</w:t>
      </w:r>
    </w:p>
    <w:p w14:paraId="61660349" w14:textId="77777777" w:rsidR="00A17D0C" w:rsidRDefault="00A17D0C" w:rsidP="00A17D0C">
      <w:r>
        <w:t>Embed Safe &amp; Together-informed and child-focused practice across adult counselling, family law and behaviour-change services.</w:t>
      </w:r>
    </w:p>
    <w:p w14:paraId="2198F84A" w14:textId="77777777" w:rsidR="00A17D0C" w:rsidRDefault="00A17D0C" w:rsidP="00A17D0C">
      <w:r>
        <w:t>Align the Second Action Plan with reforms supporting funded child-inclusive practice and dedicated child practitioners.</w:t>
      </w:r>
    </w:p>
    <w:p w14:paraId="0479F086" w14:textId="77777777" w:rsidR="00A17D0C" w:rsidRDefault="00A17D0C" w:rsidP="00A17D0C">
      <w:r>
        <w:t>Establish national safeguards and practice standards for children’s participation in family law and dispute resolution processes.</w:t>
      </w:r>
    </w:p>
    <w:p w14:paraId="550CFCA6" w14:textId="77777777" w:rsidR="00A17D0C" w:rsidRDefault="00A17D0C" w:rsidP="00A17D0C">
      <w:r>
        <w:lastRenderedPageBreak/>
        <w:t>Commission distinct, developmentally appropriate interventions for adolescents using violence, young people using violence in dating relationships and children displaying harmful sexual behaviours.</w:t>
      </w:r>
    </w:p>
    <w:p w14:paraId="6E456071" w14:textId="77777777" w:rsidR="00A17D0C" w:rsidRDefault="00A17D0C" w:rsidP="00A17D0C">
      <w:r>
        <w:t>Fund coordinated pathways across schools, health, family violence, legal, family relationship and child and family services.</w:t>
      </w:r>
    </w:p>
    <w:p w14:paraId="7691BDB8" w14:textId="77777777" w:rsidR="00A17D0C" w:rsidRDefault="00A17D0C" w:rsidP="00A17D0C">
      <w:r>
        <w:t>Involve children and young people meaningfully in policy, program design, evaluation and service improvement.</w:t>
      </w:r>
    </w:p>
    <w:p w14:paraId="382AF164" w14:textId="77777777" w:rsidR="00A17D0C" w:rsidRDefault="00A17D0C" w:rsidP="00A17D0C">
      <w:r>
        <w:t xml:space="preserve">Measure children’s safety, recovery, relationships, participation and wellbeing as </w:t>
      </w:r>
      <w:proofErr w:type="gramStart"/>
      <w:r>
        <w:t>outcomes in their own right</w:t>
      </w:r>
      <w:proofErr w:type="gramEnd"/>
      <w:r>
        <w:t>.</w:t>
      </w:r>
    </w:p>
    <w:p w14:paraId="32983A4B" w14:textId="6A45C05C" w:rsidR="00A17D0C" w:rsidRPr="00A17D0C" w:rsidRDefault="00A17D0C" w:rsidP="00A17D0C">
      <w:pPr>
        <w:rPr>
          <w:b/>
          <w:bCs/>
        </w:rPr>
      </w:pPr>
      <w:r w:rsidRPr="00A17D0C">
        <w:rPr>
          <w:b/>
          <w:bCs/>
        </w:rPr>
        <w:t>Feedback for Priority Area 4: People who use violence</w:t>
      </w:r>
    </w:p>
    <w:p w14:paraId="2E785971" w14:textId="10F17AB7" w:rsidR="00A17D0C" w:rsidRDefault="00A17D0C" w:rsidP="00A17D0C">
      <w:r>
        <w:t>Relationship Matters recommends that the Second Action Plan build a broader, risk-responsive intervention system for people who use violence and formally recognise the contribution of the Family and Relationship Services sector as an existing provider of perpetrator interventions.</w:t>
      </w:r>
    </w:p>
    <w:p w14:paraId="1AEF8784" w14:textId="1AFD8A89" w:rsidR="00A17D0C" w:rsidRDefault="00A17D0C" w:rsidP="00A17D0C">
      <w:r>
        <w:t xml:space="preserve">The sector’s role is substantial. Family &amp; Relationship Services Australia’s </w:t>
      </w:r>
      <w:proofErr w:type="gramStart"/>
      <w:r>
        <w:t>2025 member</w:t>
      </w:r>
      <w:proofErr w:type="gramEnd"/>
      <w:r>
        <w:t xml:space="preserve"> mapping identified at least 62 targeted programs for people who use violence delivered by Family and Relationship Services organisations, engaging close to 6,000 participants annually. These included group programs, individual interventions, case management, counselling, pre-group work and family support. This evidence is important because it demonstrates that Family and Relationship Services are not simply points of referral into the perpetrator intervention system. Many are already delivering specialist and specialist-informed responses and hold significant experience in engaging people who present through relationship, parenting, separation and family law pathways.</w:t>
      </w:r>
    </w:p>
    <w:p w14:paraId="7F498BB9" w14:textId="0BB86B43" w:rsidR="00A17D0C" w:rsidRDefault="00A17D0C" w:rsidP="00A17D0C">
      <w:r>
        <w:t>What would make the biggest difference in preventing and responding earlier?</w:t>
      </w:r>
    </w:p>
    <w:p w14:paraId="747334A2" w14:textId="3CF79360" w:rsidR="00A17D0C" w:rsidRDefault="00A17D0C" w:rsidP="00A17D0C">
      <w:r>
        <w:t>The biggest difference would be the creation of a national, risk-responsive continuum of interventions rather than relying predominantly on Men’s Behaviour Change Programs as the principal response. MBCPs are essential, but most people using violence never reach one. Some are not identified, some disengage before commencement, some are assessed as unsuitable, and others first present through counselling, parenting, health, workplace, family law or community services. The Second Action Plan should therefore fund a continuum in which the type and intensity of intervention can change as risk, readiness, engagement and circumstances change. This should include:</w:t>
      </w:r>
    </w:p>
    <w:p w14:paraId="02B714A8" w14:textId="77777777" w:rsidR="00A17D0C" w:rsidRDefault="00A17D0C" w:rsidP="00A17D0C">
      <w:r>
        <w:t>specialist-informed brief and motivational interventions;</w:t>
      </w:r>
    </w:p>
    <w:p w14:paraId="44A0106D" w14:textId="77777777" w:rsidR="00A17D0C" w:rsidRDefault="00A17D0C" w:rsidP="00A17D0C">
      <w:r>
        <w:t>comprehensive assessment and readiness work;</w:t>
      </w:r>
    </w:p>
    <w:p w14:paraId="4BA3038F" w14:textId="77777777" w:rsidR="00A17D0C" w:rsidRDefault="00A17D0C" w:rsidP="00A17D0C">
      <w:r>
        <w:t>individual counselling and therapeutic work;</w:t>
      </w:r>
    </w:p>
    <w:p w14:paraId="47CC6D40" w14:textId="77777777" w:rsidR="00A17D0C" w:rsidRDefault="00A17D0C" w:rsidP="00A17D0C">
      <w:r>
        <w:lastRenderedPageBreak/>
        <w:t>structured group and individual behaviour-change programs;</w:t>
      </w:r>
    </w:p>
    <w:p w14:paraId="08880419" w14:textId="77777777" w:rsidR="00A17D0C" w:rsidRDefault="00A17D0C" w:rsidP="00A17D0C">
      <w:r>
        <w:t>case management and coordinated referrals;</w:t>
      </w:r>
    </w:p>
    <w:p w14:paraId="6511F05F" w14:textId="77777777" w:rsidR="00A17D0C" w:rsidRDefault="00A17D0C" w:rsidP="00A17D0C">
      <w:r>
        <w:t>independent partner and family safety contact;</w:t>
      </w:r>
    </w:p>
    <w:p w14:paraId="7C3F5CAD" w14:textId="77777777" w:rsidR="00A17D0C" w:rsidRDefault="00A17D0C" w:rsidP="00A17D0C">
      <w:r>
        <w:t>intensive specialist intervention for high-risk and complex cases;</w:t>
      </w:r>
    </w:p>
    <w:p w14:paraId="25D355D4" w14:textId="77777777" w:rsidR="00A17D0C" w:rsidRDefault="00A17D0C" w:rsidP="00A17D0C">
      <w:r>
        <w:t>multi-agency risk management;</w:t>
      </w:r>
    </w:p>
    <w:p w14:paraId="37907EF5" w14:textId="77777777" w:rsidR="00A17D0C" w:rsidRDefault="00A17D0C" w:rsidP="00A17D0C">
      <w:r>
        <w:t>active follow-up after disengagement; and</w:t>
      </w:r>
    </w:p>
    <w:p w14:paraId="24C5A823" w14:textId="00DD9FE6" w:rsidR="00A17D0C" w:rsidRDefault="00A17D0C" w:rsidP="00A17D0C">
      <w:r>
        <w:t>post-program maintenance and re-engagement.</w:t>
      </w:r>
    </w:p>
    <w:p w14:paraId="4213B510" w14:textId="514BDBBF" w:rsidR="00A17D0C" w:rsidRDefault="00A17D0C" w:rsidP="00A17D0C">
      <w:r>
        <w:t>How can services and other settings recognise and respond safely?</w:t>
      </w:r>
    </w:p>
    <w:p w14:paraId="7C03244A" w14:textId="663A1A22" w:rsidR="00A17D0C" w:rsidRDefault="00A17D0C" w:rsidP="00A17D0C">
      <w:r>
        <w:t>Services are more likely to engage people using violence earlier when they can recognise harmful behaviour even where the person does not identify it as violence. People may present because of relationship breakdown, parenting conflict, separation, anger, jealousy, communication problems, stress or concern expressed by a partner. Practitioners need the capability to look beyond the presenting issue and identify patterns of control, intimidation, entitlement and harm.</w:t>
      </w:r>
    </w:p>
    <w:p w14:paraId="12F234FC" w14:textId="5E09774C" w:rsidR="00A17D0C" w:rsidRDefault="00A17D0C" w:rsidP="00A17D0C">
      <w:r>
        <w:t>Family members and communities can encourage accountability and help-seeking, but they should not be expected to assess risk, mediate abuse or manage safety without specialist support. Trusted cultural, faith, sporting and community organisations should have access to guidance, secondary consultation and clear referral pathways. Community influence can support engagement, but cultural or family pressures must never be used to encourage victim-survivors to remain unsafe or to excuse violence.</w:t>
      </w:r>
    </w:p>
    <w:p w14:paraId="75067915" w14:textId="2C327C7F" w:rsidR="00A17D0C" w:rsidRDefault="00A17D0C" w:rsidP="00A17D0C">
      <w:r>
        <w:t>Workplaces are another important setting. Violence may be visible through changes in behaviour, attendance, performance, conflict, misuse of workplace technology or contact with a partner during work hours.</w:t>
      </w:r>
    </w:p>
    <w:p w14:paraId="46BB6613" w14:textId="27DEDE78" w:rsidR="00A17D0C" w:rsidRDefault="00A17D0C" w:rsidP="00A17D0C">
      <w:r>
        <w:t>Employers should be able to:</w:t>
      </w:r>
    </w:p>
    <w:p w14:paraId="1E47B355" w14:textId="77777777" w:rsidR="00A17D0C" w:rsidRDefault="00A17D0C" w:rsidP="00A17D0C">
      <w:r>
        <w:t>recognise warning signs;</w:t>
      </w:r>
    </w:p>
    <w:p w14:paraId="3FB781D8" w14:textId="77777777" w:rsidR="00A17D0C" w:rsidRDefault="00A17D0C" w:rsidP="00A17D0C">
      <w:r>
        <w:t>respond to disclosures or concerns safely;</w:t>
      </w:r>
    </w:p>
    <w:p w14:paraId="7DFD1D9F" w14:textId="77777777" w:rsidR="00A17D0C" w:rsidRDefault="00A17D0C" w:rsidP="00A17D0C">
      <w:r>
        <w:t>manage workplace safety risks;</w:t>
      </w:r>
    </w:p>
    <w:p w14:paraId="72665B03" w14:textId="77777777" w:rsidR="00A17D0C" w:rsidRDefault="00A17D0C" w:rsidP="00A17D0C">
      <w:r>
        <w:t>address misuse of workplace systems and resources;</w:t>
      </w:r>
    </w:p>
    <w:p w14:paraId="5BBE84D7" w14:textId="77777777" w:rsidR="00A17D0C" w:rsidRDefault="00A17D0C" w:rsidP="00A17D0C">
      <w:r>
        <w:t>offer confidential pathways for employees concerned about their behaviour; and</w:t>
      </w:r>
    </w:p>
    <w:p w14:paraId="56EC28EA" w14:textId="2C095C44" w:rsidR="00A17D0C" w:rsidRDefault="00A17D0C" w:rsidP="00A17D0C">
      <w:r>
        <w:t>refer to specialist interventions.</w:t>
      </w:r>
    </w:p>
    <w:p w14:paraId="08D1C5AE" w14:textId="7E2558CB" w:rsidR="00A17D0C" w:rsidRDefault="00A17D0C" w:rsidP="00A17D0C">
      <w:r>
        <w:lastRenderedPageBreak/>
        <w:t>Employers should not undertake specialist risk assessment or behaviour-change treatment. Their role is to recognise, respond, manage workplace risks and facilitate access to appropriate services.</w:t>
      </w:r>
    </w:p>
    <w:p w14:paraId="47432FA5" w14:textId="79CC5782" w:rsidR="00A17D0C" w:rsidRDefault="00A17D0C" w:rsidP="00A17D0C">
      <w:r>
        <w:t>Institutions, including health, mental health, child and family, justice and family law systems, need consistent expectations for identifying people using violence, sharing information lawfully and maintaining visibility when a person moves between services or disengages.</w:t>
      </w:r>
    </w:p>
    <w:p w14:paraId="2761577F" w14:textId="2F46087E" w:rsidR="00A17D0C" w:rsidRDefault="00A17D0C" w:rsidP="00A17D0C">
      <w:r>
        <w:t>Men’s Behaviour Change Programs as part of a wider system</w:t>
      </w:r>
    </w:p>
    <w:p w14:paraId="62231C82" w14:textId="2CC0A3C4" w:rsidR="00A17D0C" w:rsidRDefault="00A17D0C" w:rsidP="00A17D0C">
      <w:r>
        <w:t>MBCPs remain a critical intervention, but they cannot operate as a stand-alone solution. Evidence from ANROWS and No to Violence emphasises that programs must sit within a broader accountability and service system.</w:t>
      </w:r>
    </w:p>
    <w:p w14:paraId="23638FEA" w14:textId="75574F72" w:rsidR="00A17D0C" w:rsidRDefault="00A17D0C" w:rsidP="00A17D0C">
      <w:r>
        <w:t>Program attendance and completion should not be treated as equivalent to sustained behaviour change. Risk may remain, escalate or shift in form during and after a program.</w:t>
      </w:r>
    </w:p>
    <w:p w14:paraId="0F32CBFF" w14:textId="318FBFED" w:rsidR="00A17D0C" w:rsidRDefault="00A17D0C" w:rsidP="00A17D0C">
      <w:r>
        <w:t>MBCP funding should therefore support a complete pathway, including:</w:t>
      </w:r>
    </w:p>
    <w:p w14:paraId="2AC8A6DE" w14:textId="77777777" w:rsidR="00A17D0C" w:rsidRDefault="00A17D0C" w:rsidP="00A17D0C">
      <w:r>
        <w:t>comprehensive assessment;</w:t>
      </w:r>
    </w:p>
    <w:p w14:paraId="6EB65316" w14:textId="77777777" w:rsidR="00A17D0C" w:rsidRDefault="00A17D0C" w:rsidP="00A17D0C">
      <w:r>
        <w:t>pre-group readiness and motivational work;</w:t>
      </w:r>
    </w:p>
    <w:p w14:paraId="639E54EC" w14:textId="77777777" w:rsidR="00A17D0C" w:rsidRDefault="00A17D0C" w:rsidP="00A17D0C">
      <w:r>
        <w:t>individual sessions;</w:t>
      </w:r>
    </w:p>
    <w:p w14:paraId="4C2CCB28" w14:textId="77777777" w:rsidR="00A17D0C" w:rsidRDefault="00A17D0C" w:rsidP="00A17D0C">
      <w:r>
        <w:t>case management;</w:t>
      </w:r>
    </w:p>
    <w:p w14:paraId="6D7AAD2C" w14:textId="77777777" w:rsidR="00A17D0C" w:rsidRDefault="00A17D0C" w:rsidP="00A17D0C">
      <w:r>
        <w:t>coordinated referrals for housing, mental health, alcohol and other drugs, financial and other needs;</w:t>
      </w:r>
    </w:p>
    <w:p w14:paraId="1652638D" w14:textId="77777777" w:rsidR="00A17D0C" w:rsidRDefault="00A17D0C" w:rsidP="00A17D0C">
      <w:r>
        <w:t>independent partner and family safety contact;</w:t>
      </w:r>
    </w:p>
    <w:p w14:paraId="71C1E7B8" w14:textId="77777777" w:rsidR="00A17D0C" w:rsidRDefault="00A17D0C" w:rsidP="00A17D0C">
      <w:r>
        <w:t>follow-up when a participant disengages;</w:t>
      </w:r>
    </w:p>
    <w:p w14:paraId="36E37355" w14:textId="77777777" w:rsidR="00A17D0C" w:rsidRDefault="00A17D0C" w:rsidP="00A17D0C">
      <w:r>
        <w:t>post-group maintenance and relapse-prevention work; and</w:t>
      </w:r>
    </w:p>
    <w:p w14:paraId="4ECC5686" w14:textId="77777777" w:rsidR="00A17D0C" w:rsidRDefault="00A17D0C" w:rsidP="00A17D0C">
      <w:r>
        <w:t>longer-term monitoring of outcomes.</w:t>
      </w:r>
    </w:p>
    <w:p w14:paraId="3F5B44D7" w14:textId="72C2B625" w:rsidR="00A17D0C" w:rsidRDefault="00A17D0C" w:rsidP="00A17D0C">
      <w:r>
        <w:t>Independent partner and family safety contact</w:t>
      </w:r>
    </w:p>
    <w:p w14:paraId="0591167F" w14:textId="32D29B7C" w:rsidR="00A17D0C" w:rsidRDefault="00A17D0C" w:rsidP="00A17D0C">
      <w:r>
        <w:t>Victim-survivor safety must remain central regardless of whether the person using violence commences, continues or completes an intervention.</w:t>
      </w:r>
    </w:p>
    <w:p w14:paraId="2A18C155" w14:textId="77777777" w:rsidR="00A17D0C" w:rsidRDefault="00A17D0C" w:rsidP="00A17D0C">
      <w:r>
        <w:t>Partner and family safety contact should be independently provided, adequately funded and available to current partners, former partners and relevant family members. It should inform risk assessment, safety planning and accountability work rather than operate as a limited administrative contact.</w:t>
      </w:r>
    </w:p>
    <w:p w14:paraId="25C6C88E" w14:textId="54A3A934" w:rsidR="00A17D0C" w:rsidRDefault="00A17D0C" w:rsidP="00A17D0C">
      <w:r>
        <w:lastRenderedPageBreak/>
        <w:t>Support should continue where the participant disengages, because disengagement may coincide with increased risk.</w:t>
      </w:r>
    </w:p>
    <w:p w14:paraId="256A02B8" w14:textId="259F22D5" w:rsidR="00A17D0C" w:rsidRDefault="00A17D0C" w:rsidP="00A17D0C">
      <w:r>
        <w:t>Case management and practical support</w:t>
      </w:r>
    </w:p>
    <w:p w14:paraId="160D6D5E" w14:textId="65081148" w:rsidR="00A17D0C" w:rsidRDefault="00A17D0C" w:rsidP="00A17D0C">
      <w:r>
        <w:t>People using violence may face housing instability, mental health concerns, alcohol and other drug issues, financial stress or justice involvement. These circumstances do not cause or excuse violence, but they may affect engagement and risk. Case management can address practical barriers while maintaining a clear focus on responsibility and behaviour change. It can also improve coordination between services and reduce the likelihood that co-occurring needs are used to deflect attention from violence.</w:t>
      </w:r>
    </w:p>
    <w:p w14:paraId="7C57532C" w14:textId="018BD113" w:rsidR="00A17D0C" w:rsidRDefault="00A17D0C" w:rsidP="00A17D0C">
      <w:r>
        <w:t>Brief and individual interventions</w:t>
      </w:r>
    </w:p>
    <w:p w14:paraId="5CD645FF" w14:textId="6BE0782D" w:rsidR="00A17D0C" w:rsidRDefault="00A17D0C" w:rsidP="00A17D0C">
      <w:r>
        <w:t>Brief interventions can provide an early response, support reflection and increase engagement with longer-term services. They may be particularly useful while a person is waiting for a program or when concerns are emerging.</w:t>
      </w:r>
    </w:p>
    <w:p w14:paraId="24A5CF8D" w14:textId="1D6F51FC" w:rsidR="00A17D0C" w:rsidRDefault="00A17D0C" w:rsidP="00A17D0C">
      <w:r>
        <w:t>However, brief intervention must have a defined scope, specialist oversight, ongoing risk assessment and family safety safeguards. It should be a bridge or component of the continuum, not a substitute for more intensive intervention where required.</w:t>
      </w:r>
    </w:p>
    <w:p w14:paraId="1E36C0D4" w14:textId="52A8E452" w:rsidR="00A17D0C" w:rsidRDefault="00A17D0C" w:rsidP="00A17D0C">
      <w:r>
        <w:t>Maintaining visibility after disengagement</w:t>
      </w:r>
    </w:p>
    <w:p w14:paraId="7C7A4169" w14:textId="344C0B56" w:rsidR="00A17D0C" w:rsidRDefault="00A17D0C" w:rsidP="00A17D0C">
      <w:r>
        <w:t>Disengagement should not result in the person disappearing from the service system. Funding and practice models should support active follow-up, reassessment, communication with relevant services and continued support to affected family members.</w:t>
      </w:r>
    </w:p>
    <w:p w14:paraId="35DC981C" w14:textId="645BAB25" w:rsidR="00A17D0C" w:rsidRDefault="00A17D0C" w:rsidP="00A17D0C">
      <w:r>
        <w:t>This is particularly important where attendance is court-directed, risk is high or the person moves repeatedly between services.</w:t>
      </w:r>
    </w:p>
    <w:p w14:paraId="07636DE7" w14:textId="2BC1A088" w:rsidR="00A17D0C" w:rsidRDefault="00A17D0C" w:rsidP="00A17D0C">
      <w:r>
        <w:t>Strengthening culturally safe and accessible responses</w:t>
      </w:r>
    </w:p>
    <w:p w14:paraId="08A838B2" w14:textId="3E383F13" w:rsidR="00A17D0C" w:rsidRDefault="00A17D0C" w:rsidP="00A17D0C">
      <w:r>
        <w:t>People who use violence are not a homogeneous group. Standard program formats, language and assumptions about gender, family structure, culture and literacy may exclude participants or reduce engagement.</w:t>
      </w:r>
    </w:p>
    <w:p w14:paraId="159913ED" w14:textId="0ED88230" w:rsidR="00A17D0C" w:rsidRDefault="00A17D0C" w:rsidP="00A17D0C">
      <w:r>
        <w:t>The FRSA mapping identified only limited numbers of programs specifically designed for First Nations men, particular migrant and refugee communities, adolescents and gender-diverse cohorts. This highlights the need for sustained investment in tailored responses.</w:t>
      </w:r>
    </w:p>
    <w:p w14:paraId="4AAB6C31" w14:textId="23072D74" w:rsidR="00A17D0C" w:rsidRDefault="00A17D0C" w:rsidP="00A17D0C">
      <w:r>
        <w:t>First Nations interventions must be Aboriginal-led and preferably delivered through Aboriginal Community Controlled Organisations. They should be grounded in self-determination, community knowledge, healing and accountability.</w:t>
      </w:r>
    </w:p>
    <w:p w14:paraId="35D56A13" w14:textId="65676F97" w:rsidR="00A17D0C" w:rsidRDefault="00A17D0C" w:rsidP="00A17D0C">
      <w:r>
        <w:lastRenderedPageBreak/>
        <w:t>For migrant and refugee communities, effective responses may require:</w:t>
      </w:r>
    </w:p>
    <w:p w14:paraId="57533D95" w14:textId="77777777" w:rsidR="00A17D0C" w:rsidRDefault="00A17D0C" w:rsidP="00A17D0C">
      <w:r>
        <w:t>bilingual and bicultural practitioners;</w:t>
      </w:r>
    </w:p>
    <w:p w14:paraId="2F6E5F70" w14:textId="77777777" w:rsidR="00A17D0C" w:rsidRDefault="00A17D0C" w:rsidP="00A17D0C">
      <w:r>
        <w:t>qualified interpreters;</w:t>
      </w:r>
    </w:p>
    <w:p w14:paraId="38500B27" w14:textId="77777777" w:rsidR="00A17D0C" w:rsidRDefault="00A17D0C" w:rsidP="00A17D0C">
      <w:r>
        <w:t>smaller or differently structured groups;</w:t>
      </w:r>
    </w:p>
    <w:p w14:paraId="71C8AB3C" w14:textId="77777777" w:rsidR="00A17D0C" w:rsidRDefault="00A17D0C" w:rsidP="00A17D0C">
      <w:r>
        <w:t>partnerships with trusted community organisations;</w:t>
      </w:r>
    </w:p>
    <w:p w14:paraId="3A5E155B" w14:textId="77777777" w:rsidR="00A17D0C" w:rsidRDefault="00A17D0C" w:rsidP="00A17D0C">
      <w:r>
        <w:t>understanding of migration, settlement, visa and family contexts; and</w:t>
      </w:r>
    </w:p>
    <w:p w14:paraId="581700E5" w14:textId="4C30D363" w:rsidR="00A17D0C" w:rsidRDefault="00A17D0C" w:rsidP="00A17D0C">
      <w:r>
        <w:t>approaches that address cultural and community pressures without excusing violence.</w:t>
      </w:r>
    </w:p>
    <w:p w14:paraId="240B7C44" w14:textId="082A6D83" w:rsidR="00A17D0C" w:rsidRDefault="00A17D0C" w:rsidP="00A17D0C">
      <w:r>
        <w:t>Relationship Matters recommends that the Second Action Plan:</w:t>
      </w:r>
    </w:p>
    <w:p w14:paraId="67AAFCEA" w14:textId="77777777" w:rsidR="00A17D0C" w:rsidRDefault="00A17D0C" w:rsidP="00A17D0C">
      <w:r>
        <w:t xml:space="preserve">Recognise Family and Relationship Services as established providers within the perpetrator intervention system, drawing on the findings of the FRSA </w:t>
      </w:r>
      <w:proofErr w:type="gramStart"/>
      <w:r>
        <w:t>2025 member</w:t>
      </w:r>
      <w:proofErr w:type="gramEnd"/>
      <w:r>
        <w:t xml:space="preserve"> mapping.</w:t>
      </w:r>
    </w:p>
    <w:p w14:paraId="25B59066" w14:textId="77777777" w:rsidR="00A17D0C" w:rsidRDefault="00A17D0C" w:rsidP="00A17D0C">
      <w:r>
        <w:t>Establish a national, risk-responsive continuum from brief intervention through to intensive and coordinated high-risk responses.</w:t>
      </w:r>
    </w:p>
    <w:p w14:paraId="41716867" w14:textId="77777777" w:rsidR="00A17D0C" w:rsidRDefault="00A17D0C" w:rsidP="00A17D0C">
      <w:r>
        <w:t>Fund assessment, readiness work, individual sessions, case management and post-program support as core components of MBCPs.</w:t>
      </w:r>
    </w:p>
    <w:p w14:paraId="035ACA5F" w14:textId="77777777" w:rsidR="00A17D0C" w:rsidRDefault="00A17D0C" w:rsidP="00A17D0C">
      <w:r>
        <w:t>Guarantee independent and adequately funded partner and family safety contact, including where a participant does not commence or disengages.</w:t>
      </w:r>
    </w:p>
    <w:p w14:paraId="52C08A01" w14:textId="4D3F20B2" w:rsidR="00A17D0C" w:rsidRPr="00A17D0C" w:rsidRDefault="00A17D0C" w:rsidP="00A17D0C">
      <w:pPr>
        <w:rPr>
          <w:b/>
          <w:bCs/>
        </w:rPr>
      </w:pPr>
      <w:r w:rsidRPr="00A17D0C">
        <w:rPr>
          <w:b/>
          <w:bCs/>
        </w:rPr>
        <w:t>Feedback for Priority Area 5: System Integration and Workforce</w:t>
      </w:r>
    </w:p>
    <w:p w14:paraId="5D13EAFB" w14:textId="09D621C9" w:rsidR="00A17D0C" w:rsidRDefault="00A17D0C" w:rsidP="00A17D0C">
      <w:r>
        <w:t>Relationship Matters recommends that the Second Action Plan create a more connected system by aligning Commonwealth reforms, clarifying the roles of specialist, hybrid and universal services, and funding the infrastructure required for collaboration.</w:t>
      </w:r>
    </w:p>
    <w:p w14:paraId="5A5776FF" w14:textId="76DADCAE" w:rsidR="00A17D0C" w:rsidRDefault="00A17D0C" w:rsidP="00A17D0C">
      <w:r>
        <w:t>People affected by violence often move between family violence, family relationship, family law, legal, health, mental health, housing, child and family and justice services. These systems frequently serve the same families but operate through different funding arrangements, eligibility requirements, risk frameworks and referral processes. The result can be repeated disclosure, referral loops, gaps in responsibility and loss of continuity.</w:t>
      </w:r>
    </w:p>
    <w:p w14:paraId="1AE13AFD" w14:textId="4550F60C" w:rsidR="00A17D0C" w:rsidRDefault="00A17D0C" w:rsidP="00A17D0C">
      <w:r>
        <w:t>What would make the biggest difference in creating a coordinated system?</w:t>
      </w:r>
    </w:p>
    <w:p w14:paraId="4DA0B3F5" w14:textId="77777777" w:rsidR="00A17D0C" w:rsidRDefault="00A17D0C" w:rsidP="00A17D0C">
      <w:r>
        <w:t xml:space="preserve">The biggest difference would be formal cross-portfolio alignment between the Second Action Plan, the DSS reform of programs for families and children and the Attorney-General’s Department’s consideration of the Support for Separating Families review. </w:t>
      </w:r>
    </w:p>
    <w:p w14:paraId="7B1E93EE" w14:textId="4DFC077F" w:rsidR="00A17D0C" w:rsidRDefault="00A17D0C" w:rsidP="00A17D0C">
      <w:r>
        <w:t xml:space="preserve">These reforms affect many of the same clients and address related issues, including family violence identification, family support, separation, parenting, legal assistance, </w:t>
      </w:r>
      <w:r>
        <w:lastRenderedPageBreak/>
        <w:t>child-inclusive practice and interventions for people using violence. They should not be implemented as parallel systems.</w:t>
      </w:r>
    </w:p>
    <w:p w14:paraId="2147A51C" w14:textId="58B86482" w:rsidR="00A17D0C" w:rsidRDefault="00A17D0C" w:rsidP="00A17D0C">
      <w:r>
        <w:t>Relationship Matters recommends a joint DSS–Attorney-General’s Department implementation mechanism with specialist family violence, Aboriginal and Torres Strait Islander, lived-experience and sector representation. It should align:</w:t>
      </w:r>
    </w:p>
    <w:p w14:paraId="5495D8D2" w14:textId="77777777" w:rsidR="00A17D0C" w:rsidRDefault="00A17D0C" w:rsidP="00A17D0C">
      <w:r>
        <w:t>commissioning and service expectations;</w:t>
      </w:r>
    </w:p>
    <w:p w14:paraId="13ABCC3B" w14:textId="77777777" w:rsidR="00A17D0C" w:rsidRDefault="00A17D0C" w:rsidP="00A17D0C">
      <w:r>
        <w:t>screening and risk assessment;</w:t>
      </w:r>
    </w:p>
    <w:p w14:paraId="40C6A20A" w14:textId="77777777" w:rsidR="00A17D0C" w:rsidRDefault="00A17D0C" w:rsidP="00A17D0C">
      <w:r>
        <w:t>information sharing and consent;</w:t>
      </w:r>
    </w:p>
    <w:p w14:paraId="1F4332BA" w14:textId="77777777" w:rsidR="00A17D0C" w:rsidRDefault="00A17D0C" w:rsidP="00A17D0C">
      <w:r>
        <w:t>referral and escalation pathways;</w:t>
      </w:r>
    </w:p>
    <w:p w14:paraId="6FFDBBEB" w14:textId="77777777" w:rsidR="00A17D0C" w:rsidRDefault="00A17D0C" w:rsidP="00A17D0C">
      <w:r>
        <w:t>family violence and child safety capability;</w:t>
      </w:r>
    </w:p>
    <w:p w14:paraId="741F28F8" w14:textId="77777777" w:rsidR="00A17D0C" w:rsidRDefault="00A17D0C" w:rsidP="00A17D0C">
      <w:r>
        <w:t>child-inclusive practice;</w:t>
      </w:r>
    </w:p>
    <w:p w14:paraId="6A73A302" w14:textId="77777777" w:rsidR="00A17D0C" w:rsidRDefault="00A17D0C" w:rsidP="00A17D0C">
      <w:r>
        <w:t>perpetrator accountability;</w:t>
      </w:r>
    </w:p>
    <w:p w14:paraId="714179BC" w14:textId="77777777" w:rsidR="00A17D0C" w:rsidRDefault="00A17D0C" w:rsidP="00A17D0C">
      <w:r>
        <w:t>outcome measures; and</w:t>
      </w:r>
    </w:p>
    <w:p w14:paraId="1FD597C3" w14:textId="34F4B31B" w:rsidR="00A17D0C" w:rsidRDefault="00A17D0C" w:rsidP="00A17D0C">
      <w:r>
        <w:t>evaluation.</w:t>
      </w:r>
    </w:p>
    <w:p w14:paraId="0EC30F79" w14:textId="2A87F185" w:rsidR="00A17D0C" w:rsidRDefault="00A17D0C" w:rsidP="00A17D0C">
      <w:r>
        <w:t>Alignment does not mean that every service should perform every function. It requires clear roles, specialist leadership, reliable pathways and shared responsibility for continuity of care.</w:t>
      </w:r>
    </w:p>
    <w:p w14:paraId="6C355F5C" w14:textId="77777777" w:rsidR="00A17D0C" w:rsidRDefault="00A17D0C" w:rsidP="00A17D0C">
      <w:r>
        <w:t>Family and Relationship Services should be formally recognised within this system. Many organisations hold hybrid capability, delivering counselling, family law and parenting services alongside Men’s Behaviour Change Programs, family safety contact, specialised family violence services and family-violence-informed mediation.</w:t>
      </w:r>
    </w:p>
    <w:p w14:paraId="281FF192" w14:textId="3C494592" w:rsidR="00A17D0C" w:rsidRDefault="00A17D0C" w:rsidP="00A17D0C">
      <w:r>
        <w:t>A simple specialist/non-specialist distinction can obscure this capability. Specialist family violence services must retain leadership in victim-survivor advocacy, high-risk response, secondary consultation and workforce development, while commissioning should also recognise the functions and expertise of hybrid providers.</w:t>
      </w:r>
    </w:p>
    <w:p w14:paraId="019A893C" w14:textId="61FECC1A" w:rsidR="00A17D0C" w:rsidRDefault="00A17D0C" w:rsidP="00A17D0C">
      <w:r>
        <w:t>Effective collaboration, coordination and information sharing</w:t>
      </w:r>
    </w:p>
    <w:p w14:paraId="3C5CDA39" w14:textId="06E8E807" w:rsidR="00A17D0C" w:rsidRDefault="00A17D0C" w:rsidP="00A17D0C">
      <w:r>
        <w:t>The most effective approaches are those that replace informal referral relationships with funded and accountable arrangements. Regional and local integration should include:</w:t>
      </w:r>
    </w:p>
    <w:p w14:paraId="512C875F" w14:textId="77777777" w:rsidR="00A17D0C" w:rsidRDefault="00A17D0C" w:rsidP="00A17D0C">
      <w:r>
        <w:t>agreed referral, feedback and escalation pathways;</w:t>
      </w:r>
    </w:p>
    <w:p w14:paraId="345234C2" w14:textId="77777777" w:rsidR="00A17D0C" w:rsidRDefault="00A17D0C" w:rsidP="00A17D0C">
      <w:r>
        <w:t>warm referral and supported service navigation;</w:t>
      </w:r>
    </w:p>
    <w:p w14:paraId="50BEC9DF" w14:textId="77777777" w:rsidR="00A17D0C" w:rsidRDefault="00A17D0C" w:rsidP="00A17D0C">
      <w:r>
        <w:t>funded specialist secondary consultation;</w:t>
      </w:r>
    </w:p>
    <w:p w14:paraId="42535038" w14:textId="77777777" w:rsidR="00A17D0C" w:rsidRDefault="00A17D0C" w:rsidP="00A17D0C">
      <w:r>
        <w:lastRenderedPageBreak/>
        <w:t>multidisciplinary case coordination;</w:t>
      </w:r>
    </w:p>
    <w:p w14:paraId="113956E1" w14:textId="77777777" w:rsidR="00A17D0C" w:rsidRDefault="00A17D0C" w:rsidP="00A17D0C">
      <w:r>
        <w:t>multi-agency risk management for high-risk matters;</w:t>
      </w:r>
    </w:p>
    <w:p w14:paraId="5FC6A3BE" w14:textId="77777777" w:rsidR="00A17D0C" w:rsidRDefault="00A17D0C" w:rsidP="00A17D0C">
      <w:r>
        <w:t>clear and lawful information-sharing processes;</w:t>
      </w:r>
    </w:p>
    <w:p w14:paraId="62849E17" w14:textId="77777777" w:rsidR="00A17D0C" w:rsidRDefault="00A17D0C" w:rsidP="00A17D0C">
      <w:r>
        <w:t>shared practice protocols;</w:t>
      </w:r>
    </w:p>
    <w:p w14:paraId="14B1D20B" w14:textId="77777777" w:rsidR="00A17D0C" w:rsidRDefault="00A17D0C" w:rsidP="00A17D0C">
      <w:r>
        <w:t>communities of practice; and</w:t>
      </w:r>
    </w:p>
    <w:p w14:paraId="461C2BAA" w14:textId="3019FB35" w:rsidR="00A17D0C" w:rsidRDefault="00A17D0C" w:rsidP="00A17D0C">
      <w:r>
        <w:t>mechanisms for resolving service gaps or disagreements.</w:t>
      </w:r>
    </w:p>
    <w:p w14:paraId="145E7358" w14:textId="6FC6EF9A" w:rsidR="00A17D0C" w:rsidRDefault="00A17D0C" w:rsidP="00A17D0C">
      <w:r>
        <w:t>Integrated regional demonstration sites could test connected pathways between specialist family violence services, Family and Relationship Services, legal assistance, family law, counselling, parenting support and interventions for people using violence. These models should be evaluated for safety, accessibility, continuity and outcomes, not simply referral volume.</w:t>
      </w:r>
    </w:p>
    <w:p w14:paraId="536310C6" w14:textId="3DE2CE7F" w:rsidR="00A17D0C" w:rsidRDefault="00A17D0C" w:rsidP="00A17D0C">
      <w:r>
        <w:t>Information sharing should support safety and accountability while remaining proportionate and lawful. Clear national guidance is needed on consent, privacy, risk-related information sharing and the responsibilities of services operating across Commonwealth and state or territory systems.</w:t>
      </w:r>
    </w:p>
    <w:p w14:paraId="53C185F2" w14:textId="4118B92D" w:rsidR="00A17D0C" w:rsidRDefault="00A17D0C" w:rsidP="00A17D0C">
      <w:r>
        <w:t>Workforce capabilities, supports and conditions</w:t>
      </w:r>
    </w:p>
    <w:p w14:paraId="25999AF5" w14:textId="6C84C16C" w:rsidR="00A17D0C" w:rsidRDefault="00A17D0C" w:rsidP="00A17D0C">
      <w:r>
        <w:t>Workforce capability requires more than one-off training. Safe and effective practice depends on role clarity, practice leadership, supervision, specialist consultation and organisational systems that support workers to apply their knowledge.</w:t>
      </w:r>
    </w:p>
    <w:p w14:paraId="2631544D" w14:textId="3BFD306A" w:rsidR="00A17D0C" w:rsidRDefault="00A17D0C" w:rsidP="00A17D0C">
      <w:r>
        <w:t>The Second Action Plan should fund:</w:t>
      </w:r>
    </w:p>
    <w:p w14:paraId="4D7BE81C" w14:textId="77777777" w:rsidR="00A17D0C" w:rsidRDefault="00A17D0C" w:rsidP="00A17D0C">
      <w:r>
        <w:t>role-specific capability standards for specialist, hybrid and universal workforces;</w:t>
      </w:r>
    </w:p>
    <w:p w14:paraId="258467B8" w14:textId="77777777" w:rsidR="00A17D0C" w:rsidRDefault="00A17D0C" w:rsidP="00A17D0C">
      <w:r>
        <w:t>foundational and advanced learning in coercive control, technology-facilitated abuse, sexual violence, systems abuse, misidentification and intersectionality;</w:t>
      </w:r>
    </w:p>
    <w:p w14:paraId="638BC6BF" w14:textId="77777777" w:rsidR="00A17D0C" w:rsidRDefault="00A17D0C" w:rsidP="00A17D0C">
      <w:r>
        <w:t>child-focused and Safe &amp; Together-informed practice;</w:t>
      </w:r>
    </w:p>
    <w:p w14:paraId="0454837A" w14:textId="77777777" w:rsidR="00A17D0C" w:rsidRDefault="00A17D0C" w:rsidP="00A17D0C">
      <w:r>
        <w:t>culturally safe practice developed with relevant communities;</w:t>
      </w:r>
    </w:p>
    <w:p w14:paraId="39449CFD" w14:textId="77777777" w:rsidR="00A17D0C" w:rsidRDefault="00A17D0C" w:rsidP="00A17D0C">
      <w:r>
        <w:t>reflective practice and clinical supervision;</w:t>
      </w:r>
    </w:p>
    <w:p w14:paraId="18475C32" w14:textId="77777777" w:rsidR="00A17D0C" w:rsidRDefault="00A17D0C" w:rsidP="00A17D0C">
      <w:r>
        <w:t>access to specialist secondary consultation;</w:t>
      </w:r>
    </w:p>
    <w:p w14:paraId="04A8AC2E" w14:textId="77777777" w:rsidR="00A17D0C" w:rsidRDefault="00A17D0C" w:rsidP="00A17D0C">
      <w:r>
        <w:t>protected learning time and workforce backfill;</w:t>
      </w:r>
    </w:p>
    <w:p w14:paraId="55E21529" w14:textId="77777777" w:rsidR="00A17D0C" w:rsidRDefault="00A17D0C" w:rsidP="00A17D0C">
      <w:r>
        <w:t xml:space="preserve">psychosocial safety and vicarious trauma </w:t>
      </w:r>
      <w:proofErr w:type="gramStart"/>
      <w:r>
        <w:t>supports</w:t>
      </w:r>
      <w:proofErr w:type="gramEnd"/>
      <w:r>
        <w:t>;</w:t>
      </w:r>
    </w:p>
    <w:p w14:paraId="5D52A56D" w14:textId="77777777" w:rsidR="00A17D0C" w:rsidRDefault="00A17D0C" w:rsidP="00A17D0C">
      <w:r>
        <w:t>manageable workloads and realistic caseloads;</w:t>
      </w:r>
    </w:p>
    <w:p w14:paraId="46A13724" w14:textId="77777777" w:rsidR="00A17D0C" w:rsidRDefault="00A17D0C" w:rsidP="00A17D0C">
      <w:r>
        <w:t>workforce retention and career development strategies; and</w:t>
      </w:r>
    </w:p>
    <w:p w14:paraId="283109AF" w14:textId="7B3726CD" w:rsidR="00A17D0C" w:rsidRDefault="00A17D0C" w:rsidP="00A17D0C">
      <w:r>
        <w:lastRenderedPageBreak/>
        <w:t>pathways for practitioners to build specialist expertise while remaining in direct practice.</w:t>
      </w:r>
    </w:p>
    <w:p w14:paraId="3C4BC2F1" w14:textId="0DD86D94" w:rsidR="00A17D0C" w:rsidRDefault="00A17D0C" w:rsidP="00A17D0C">
      <w:r>
        <w:t xml:space="preserve">Small, regional and community-based services may face </w:t>
      </w:r>
      <w:proofErr w:type="gramStart"/>
      <w:r>
        <w:t>particular barriers</w:t>
      </w:r>
      <w:proofErr w:type="gramEnd"/>
      <w:r>
        <w:t xml:space="preserve"> to releasing staff for training, accessing supervision and recruiting specialist practitioners. Funding models should account for these realities rather than imposing unfunded capability requirements.</w:t>
      </w:r>
    </w:p>
    <w:p w14:paraId="43AF61BA" w14:textId="42F077D8" w:rsidR="00A17D0C" w:rsidRDefault="00A17D0C" w:rsidP="00A17D0C">
      <w:r>
        <w:t>The workforce also needs greater confidence in distinguishing relationship conflict from patterned abuse, identifying coercive control, avoiding collusion, recognising misidentification and understanding the impacts of violence on children.</w:t>
      </w:r>
    </w:p>
    <w:p w14:paraId="003B4803" w14:textId="1E327256" w:rsidR="00A17D0C" w:rsidRDefault="00A17D0C" w:rsidP="00A17D0C">
      <w:r>
        <w:t>Supports needed by specialist and universal services</w:t>
      </w:r>
    </w:p>
    <w:p w14:paraId="0F96C774" w14:textId="1059110E" w:rsidR="00A17D0C" w:rsidRDefault="00A17D0C" w:rsidP="00A17D0C">
      <w:r>
        <w:t>Specialist services require sustainable funding to provide high-risk responses, victim-survivor advocacy, partner and family safety contact, secondary consultation, workforce development and leadership across the broader system.</w:t>
      </w:r>
    </w:p>
    <w:p w14:paraId="739A1DC6" w14:textId="43F00853" w:rsidR="00A17D0C" w:rsidRDefault="00A17D0C" w:rsidP="00A17D0C">
      <w:r>
        <w:t>Universal and Family and Relationship Services need:</w:t>
      </w:r>
    </w:p>
    <w:p w14:paraId="7A7531D5" w14:textId="77777777" w:rsidR="00A17D0C" w:rsidRDefault="00A17D0C" w:rsidP="00A17D0C">
      <w:r>
        <w:t>clear role definitions;</w:t>
      </w:r>
    </w:p>
    <w:p w14:paraId="7D05B0C9" w14:textId="77777777" w:rsidR="00A17D0C" w:rsidRDefault="00A17D0C" w:rsidP="00A17D0C">
      <w:r>
        <w:t>practical screening and response tools;</w:t>
      </w:r>
    </w:p>
    <w:p w14:paraId="5E5C0B53" w14:textId="77777777" w:rsidR="00A17D0C" w:rsidRDefault="00A17D0C" w:rsidP="00A17D0C">
      <w:r>
        <w:t>specialist consultation;</w:t>
      </w:r>
    </w:p>
    <w:p w14:paraId="0C2B562F" w14:textId="77777777" w:rsidR="00A17D0C" w:rsidRDefault="00A17D0C" w:rsidP="00A17D0C">
      <w:r>
        <w:t>formal referral pathways;</w:t>
      </w:r>
    </w:p>
    <w:p w14:paraId="7595F32E" w14:textId="77777777" w:rsidR="00A17D0C" w:rsidRDefault="00A17D0C" w:rsidP="00A17D0C">
      <w:r>
        <w:t>escalation protocols;</w:t>
      </w:r>
    </w:p>
    <w:p w14:paraId="149F2F10" w14:textId="77777777" w:rsidR="00A17D0C" w:rsidRDefault="00A17D0C" w:rsidP="00A17D0C">
      <w:r>
        <w:t>culturally safe and accessible resources;</w:t>
      </w:r>
    </w:p>
    <w:p w14:paraId="39DD3C53" w14:textId="77777777" w:rsidR="00A17D0C" w:rsidRDefault="00A17D0C" w:rsidP="00A17D0C">
      <w:r>
        <w:t>supervision and practice support; and</w:t>
      </w:r>
    </w:p>
    <w:p w14:paraId="3A417994" w14:textId="6A7C2181" w:rsidR="00A17D0C" w:rsidRDefault="00A17D0C" w:rsidP="00A17D0C">
      <w:r>
        <w:t>funding for assessment, coordination, warm referral and follow-up.</w:t>
      </w:r>
    </w:p>
    <w:p w14:paraId="036E25F4" w14:textId="371E4B66" w:rsidR="00A17D0C" w:rsidRDefault="00A17D0C" w:rsidP="00A17D0C">
      <w:r>
        <w:t>Universal services should not be expected to become specialist family violence providers. They should, however, be able to recognise concerns, respond safely, manage immediate risks within their role and connect people with appropriate support.</w:t>
      </w:r>
    </w:p>
    <w:p w14:paraId="67852C78" w14:textId="203F535C" w:rsidR="00A17D0C" w:rsidRDefault="00A17D0C" w:rsidP="00A17D0C">
      <w:r>
        <w:t>Inclusive responses require more than generic accessibility statements. Services may need interpreters, bilingual and bicultural workers, disability access, flexible service formats, outreach, accessible digital platforms and partnerships with trusted community organisations.</w:t>
      </w:r>
    </w:p>
    <w:p w14:paraId="77E30B02" w14:textId="386DB8F4" w:rsidR="00A17D0C" w:rsidRDefault="00A17D0C" w:rsidP="00A17D0C">
      <w:r>
        <w:t>First Nations system design and workforce development must be Aboriginal-led and should strengthen Aboriginal Community Controlled Organisations rather than adding expectations to mainstream services without corresponding investment in Aboriginal leadership.</w:t>
      </w:r>
    </w:p>
    <w:p w14:paraId="5C1D4D50" w14:textId="645D3BE2" w:rsidR="00A17D0C" w:rsidRDefault="00A17D0C" w:rsidP="00A17D0C">
      <w:r>
        <w:lastRenderedPageBreak/>
        <w:t>Evidence and system gaps</w:t>
      </w:r>
    </w:p>
    <w:p w14:paraId="0C0734C1" w14:textId="67CF45BC" w:rsidR="00A17D0C" w:rsidRDefault="00A17D0C" w:rsidP="00A17D0C">
      <w:r>
        <w:t>Current data systems often prioritise activity, attendance and completion rather than safety, accountability and sustained change. The Second Action Plan should establish common national outcome domains while allowing different service models to demonstrate their contribution. These should include:</w:t>
      </w:r>
    </w:p>
    <w:p w14:paraId="0B7F96A0" w14:textId="77777777" w:rsidR="00A17D0C" w:rsidRDefault="00A17D0C" w:rsidP="00A17D0C">
      <w:r>
        <w:t>victim-survivor and child safety;</w:t>
      </w:r>
    </w:p>
    <w:p w14:paraId="38C228AE" w14:textId="77777777" w:rsidR="00A17D0C" w:rsidRDefault="00A17D0C" w:rsidP="00A17D0C">
      <w:r>
        <w:t>risk reduction;</w:t>
      </w:r>
    </w:p>
    <w:p w14:paraId="0B9F69AA" w14:textId="77777777" w:rsidR="00A17D0C" w:rsidRDefault="00A17D0C" w:rsidP="00A17D0C">
      <w:r>
        <w:t>service connection and continuity;</w:t>
      </w:r>
    </w:p>
    <w:p w14:paraId="7DA5590C" w14:textId="77777777" w:rsidR="00A17D0C" w:rsidRDefault="00A17D0C" w:rsidP="00A17D0C">
      <w:r>
        <w:t>reduction in coercive and controlling behaviour;</w:t>
      </w:r>
    </w:p>
    <w:p w14:paraId="4B562DB3" w14:textId="77777777" w:rsidR="00A17D0C" w:rsidRDefault="00A17D0C" w:rsidP="00A17D0C">
      <w:r>
        <w:t>accountability by people using violence;</w:t>
      </w:r>
    </w:p>
    <w:p w14:paraId="44240E1C" w14:textId="77777777" w:rsidR="00A17D0C" w:rsidRDefault="00A17D0C" w:rsidP="00A17D0C">
      <w:r>
        <w:t>children’s wellbeing and relationships;</w:t>
      </w:r>
    </w:p>
    <w:p w14:paraId="363E1918" w14:textId="77777777" w:rsidR="00A17D0C" w:rsidRDefault="00A17D0C" w:rsidP="00A17D0C">
      <w:r>
        <w:t>accessibility and equity of outcomes; and</w:t>
      </w:r>
    </w:p>
    <w:p w14:paraId="783B3F3D" w14:textId="15B32813" w:rsidR="00A17D0C" w:rsidRDefault="00A17D0C" w:rsidP="00A17D0C">
      <w:r>
        <w:t>sustained change over time.</w:t>
      </w:r>
    </w:p>
    <w:p w14:paraId="5DD92B4F" w14:textId="15150E29" w:rsidR="00A17D0C" w:rsidRDefault="00A17D0C" w:rsidP="00A17D0C">
      <w:r>
        <w:t>Outcomes should be disaggregated by cohort, geography and access pathway to identify inequity and unmet need.</w:t>
      </w:r>
    </w:p>
    <w:p w14:paraId="3AB6E20D" w14:textId="63CD09A4" w:rsidR="00A17D0C" w:rsidRDefault="00A17D0C" w:rsidP="00A17D0C">
      <w:r>
        <w:t>Independent and longitudinal evaluation should be funded rather than imposed as an unfunded reporting requirement. Innovative, culturally specific and locally designed models need sufficient time and resources to build evidence.</w:t>
      </w:r>
    </w:p>
    <w:p w14:paraId="5B50959C" w14:textId="4BF7D51C" w:rsidR="00A17D0C" w:rsidRDefault="00A17D0C" w:rsidP="00A17D0C">
      <w:r>
        <w:t>Other priority gaps include:</w:t>
      </w:r>
    </w:p>
    <w:p w14:paraId="3D88585D" w14:textId="77777777" w:rsidR="00A17D0C" w:rsidRDefault="00A17D0C" w:rsidP="00A17D0C">
      <w:r>
        <w:t>inconsistent family violence identification across family and universal services;</w:t>
      </w:r>
    </w:p>
    <w:p w14:paraId="32B2C7B2" w14:textId="77777777" w:rsidR="00A17D0C" w:rsidRDefault="00A17D0C" w:rsidP="00A17D0C">
      <w:r>
        <w:t>limited information about outcomes after program completion;</w:t>
      </w:r>
    </w:p>
    <w:p w14:paraId="0FA3BE53" w14:textId="77777777" w:rsidR="00A17D0C" w:rsidRDefault="00A17D0C" w:rsidP="00A17D0C">
      <w:r>
        <w:t>insufficient data on partners, former partners and children;</w:t>
      </w:r>
    </w:p>
    <w:p w14:paraId="17C934A5" w14:textId="77777777" w:rsidR="00A17D0C" w:rsidRDefault="00A17D0C" w:rsidP="00A17D0C">
      <w:r>
        <w:t>fragmented Commonwealth and state or territory data systems;</w:t>
      </w:r>
    </w:p>
    <w:p w14:paraId="1CF56427" w14:textId="77777777" w:rsidR="00A17D0C" w:rsidRDefault="00A17D0C" w:rsidP="00A17D0C">
      <w:r>
        <w:t>limited evidence on tailored interventions for diverse cohorts;</w:t>
      </w:r>
    </w:p>
    <w:p w14:paraId="0D0FE737" w14:textId="77777777" w:rsidR="00A17D0C" w:rsidRDefault="00A17D0C" w:rsidP="00A17D0C">
      <w:r>
        <w:t>shortages of skilled practitioners and supervisors;</w:t>
      </w:r>
    </w:p>
    <w:p w14:paraId="3625E18D" w14:textId="77777777" w:rsidR="00A17D0C" w:rsidRDefault="00A17D0C" w:rsidP="00A17D0C">
      <w:r>
        <w:t>inconsistent access to specialist consultation; and</w:t>
      </w:r>
    </w:p>
    <w:p w14:paraId="09DA3FAD" w14:textId="7DB768A9" w:rsidR="00A17D0C" w:rsidRDefault="00A17D0C" w:rsidP="00A17D0C">
      <w:r>
        <w:t>weak feedback loops between referring and receiving services.</w:t>
      </w:r>
    </w:p>
    <w:p w14:paraId="14C99250" w14:textId="77777777" w:rsidR="00A17D0C" w:rsidRDefault="00A17D0C" w:rsidP="00A17D0C">
      <w:r>
        <w:t>Relationship Matters recommends that the Second Action Plan:</w:t>
      </w:r>
    </w:p>
    <w:p w14:paraId="2EF0AA2D" w14:textId="77777777" w:rsidR="00A17D0C" w:rsidRDefault="00A17D0C" w:rsidP="00A17D0C">
      <w:r>
        <w:t>Establish joint DSS–Attorney-General’s Department governance to align relevant family violence, family support and family law reforms.</w:t>
      </w:r>
    </w:p>
    <w:p w14:paraId="61BD4CC6" w14:textId="77777777" w:rsidR="00A17D0C" w:rsidRDefault="00A17D0C" w:rsidP="00A17D0C">
      <w:r>
        <w:lastRenderedPageBreak/>
        <w:t>Recognise specialist, hybrid and universal workforce roles while preserving specialist family violence leadership.</w:t>
      </w:r>
    </w:p>
    <w:p w14:paraId="36372C42" w14:textId="77777777" w:rsidR="00A17D0C" w:rsidRDefault="00A17D0C" w:rsidP="00A17D0C">
      <w:r>
        <w:t>Fund formal regional integration arrangements, including warm referral, secondary consultation, case coordination and escalation pathways.</w:t>
      </w:r>
    </w:p>
    <w:p w14:paraId="7DA9C221" w14:textId="77777777" w:rsidR="00A17D0C" w:rsidRDefault="00A17D0C" w:rsidP="00A17D0C">
      <w:r>
        <w:t>Develop role-specific national capability standards supported by training, supervision, practice leadership and workforce backfill.</w:t>
      </w:r>
    </w:p>
    <w:p w14:paraId="74896A3D" w14:textId="77777777" w:rsidR="00A17D0C" w:rsidRDefault="00A17D0C" w:rsidP="00A17D0C">
      <w:r>
        <w:t>Invest in workforce wellbeing, psychosocial safety, retention and sustainable caseloads.</w:t>
      </w:r>
    </w:p>
    <w:p w14:paraId="56BDA8E9" w14:textId="77777777" w:rsidR="00A17D0C" w:rsidRDefault="00A17D0C" w:rsidP="00A17D0C">
      <w:r>
        <w:t>Provide universal and Family and Relationship Services with clear tools, specialist support and funding for safe identification, coordination and follow-up.</w:t>
      </w:r>
    </w:p>
    <w:p w14:paraId="4505CB23" w14:textId="77777777" w:rsidR="00A17D0C" w:rsidRDefault="00A17D0C" w:rsidP="00A17D0C">
      <w:r>
        <w:t>Strengthen Aboriginal-led workforce and system responses and invest in culturally safe and accessible service models.</w:t>
      </w:r>
    </w:p>
    <w:p w14:paraId="0A4EC50D" w14:textId="77777777" w:rsidR="00A17D0C" w:rsidRDefault="00A17D0C" w:rsidP="00A17D0C">
      <w:r>
        <w:t>Establish common outcome domains focused on safety, accountability, continuity and sustained change.</w:t>
      </w:r>
    </w:p>
    <w:p w14:paraId="0AEA3434" w14:textId="77777777" w:rsidR="00A17D0C" w:rsidRDefault="00A17D0C" w:rsidP="00A17D0C">
      <w:r>
        <w:t>Fund independent and longitudinal evaluation, including for tailored and innovative models.</w:t>
      </w:r>
    </w:p>
    <w:p w14:paraId="6A40D360" w14:textId="77777777" w:rsidR="00A17D0C" w:rsidRDefault="00A17D0C" w:rsidP="00A17D0C">
      <w:r>
        <w:t>Improve information sharing and data alignment across Commonwealth, state and territory systems.</w:t>
      </w:r>
    </w:p>
    <w:p w14:paraId="38CF050B" w14:textId="1BC926AE" w:rsidR="00A17D0C" w:rsidRPr="00A17D0C" w:rsidRDefault="00A17D0C" w:rsidP="00A17D0C">
      <w:pPr>
        <w:rPr>
          <w:b/>
          <w:bCs/>
        </w:rPr>
      </w:pPr>
      <w:r w:rsidRPr="00A17D0C">
        <w:rPr>
          <w:b/>
          <w:bCs/>
        </w:rPr>
        <w:t>Are there any other actions you think should be a priority to stop family, domestic and sexual violence?</w:t>
      </w:r>
    </w:p>
    <w:p w14:paraId="4586FF4A" w14:textId="0EDD949E" w:rsidR="00A17D0C" w:rsidRDefault="00A17D0C" w:rsidP="00A17D0C">
      <w:r>
        <w:t>Relationship Matters considers that the Second Action Plan should recognise workplaces as important but underused settings for prevention, early intervention and recovery.</w:t>
      </w:r>
    </w:p>
    <w:p w14:paraId="047F3D94" w14:textId="659B2CBD" w:rsidR="00A17D0C" w:rsidRDefault="00A17D0C" w:rsidP="00A17D0C">
      <w:r>
        <w:t>Workplaces are often where the impacts of family, domestic and sexual violence first become visible outside the home. Violence can affect attendance, concentration, performance, financial security, career progression and workplace safety. Workplace devices, systems, contact information and working hours may also be used to monitor, harass or control a victim-survivor.</w:t>
      </w:r>
    </w:p>
    <w:p w14:paraId="1FCCD60D" w14:textId="0D104979" w:rsidR="00A17D0C" w:rsidRDefault="00A17D0C" w:rsidP="00A17D0C">
      <w:r>
        <w:t>For many people, the workplace is one of the few stable points of contact outside the home and may be the first place where they feel able to disclose what is happening. It can also provide an opportunity to engage an employee who is concerned about, or has been identified as using, harmful or controlling behaviours.</w:t>
      </w:r>
    </w:p>
    <w:p w14:paraId="79219B95" w14:textId="44DF4F45" w:rsidR="00A17D0C" w:rsidRDefault="00A17D0C" w:rsidP="00A17D0C">
      <w:r>
        <w:t xml:space="preserve">Relationship Matters has developed Safe &amp; Supported at Work, delivered through its Workplace Matters service, as a specialist family violence employee assistance model. The model was developed through a partnership between Relationship Matters, as an </w:t>
      </w:r>
      <w:r>
        <w:lastRenderedPageBreak/>
        <w:t>experienced EAP, counselling and family violence service provider, and a not-for-profit law firm providing specialist legal support.</w:t>
      </w:r>
    </w:p>
    <w:p w14:paraId="445B6FA9" w14:textId="45F0D944" w:rsidR="00A17D0C" w:rsidRDefault="00A17D0C" w:rsidP="00A17D0C">
      <w:r>
        <w:t>This partnership brings together three essential elements:</w:t>
      </w:r>
    </w:p>
    <w:p w14:paraId="02D771C7" w14:textId="77777777" w:rsidR="00A17D0C" w:rsidRDefault="00A17D0C" w:rsidP="00A17D0C">
      <w:r>
        <w:t>confidential therapeutic and family violence-informed support;</w:t>
      </w:r>
    </w:p>
    <w:p w14:paraId="1E34886E" w14:textId="77777777" w:rsidR="00A17D0C" w:rsidRDefault="00A17D0C" w:rsidP="00A17D0C">
      <w:r>
        <w:t>specialist legal information and assistance; and</w:t>
      </w:r>
    </w:p>
    <w:p w14:paraId="6062B316" w14:textId="77777777" w:rsidR="00A17D0C" w:rsidRDefault="00A17D0C" w:rsidP="00A17D0C">
      <w:r>
        <w:t>practical support for employers to respond safely and consistently.</w:t>
      </w:r>
    </w:p>
    <w:p w14:paraId="708C3DC3" w14:textId="43CBDF51" w:rsidR="00A17D0C" w:rsidRDefault="00A17D0C" w:rsidP="00A17D0C">
      <w:r>
        <w:t>Support for victim-survivors</w:t>
      </w:r>
    </w:p>
    <w:p w14:paraId="241A9E8C" w14:textId="7F43098D" w:rsidR="00A17D0C" w:rsidRDefault="00A17D0C" w:rsidP="00A17D0C">
      <w:r>
        <w:t>Safe &amp; Supported at Work provides confidential support to employees experiencing family violence, including:</w:t>
      </w:r>
    </w:p>
    <w:p w14:paraId="2C411E74" w14:textId="77777777" w:rsidR="00A17D0C" w:rsidRDefault="00A17D0C" w:rsidP="00A17D0C">
      <w:r>
        <w:t>family violence-informed counselling;</w:t>
      </w:r>
    </w:p>
    <w:p w14:paraId="593A0774" w14:textId="77777777" w:rsidR="00A17D0C" w:rsidRDefault="00A17D0C" w:rsidP="00A17D0C">
      <w:r>
        <w:t>risk-informed safety planning;</w:t>
      </w:r>
    </w:p>
    <w:p w14:paraId="223CD9A4" w14:textId="77777777" w:rsidR="00A17D0C" w:rsidRDefault="00A17D0C" w:rsidP="00A17D0C">
      <w:r>
        <w:t>specialist legal information and support;</w:t>
      </w:r>
    </w:p>
    <w:p w14:paraId="13761CA8" w14:textId="77777777" w:rsidR="00A17D0C" w:rsidRDefault="00A17D0C" w:rsidP="00A17D0C">
      <w:r>
        <w:t>assistance to understand legal options and workplace rights;</w:t>
      </w:r>
    </w:p>
    <w:p w14:paraId="353615B9" w14:textId="77777777" w:rsidR="00A17D0C" w:rsidRDefault="00A17D0C" w:rsidP="00A17D0C">
      <w:r>
        <w:t>navigation and warm referral to family violence, housing, financial, mental health and other services;</w:t>
      </w:r>
    </w:p>
    <w:p w14:paraId="76EC38FD" w14:textId="77777777" w:rsidR="00A17D0C" w:rsidRDefault="00A17D0C" w:rsidP="00A17D0C">
      <w:r>
        <w:t>support to identify workplace risks and possible adjustments; and</w:t>
      </w:r>
    </w:p>
    <w:p w14:paraId="16D19315" w14:textId="49D27257" w:rsidR="00A17D0C" w:rsidRDefault="00A17D0C" w:rsidP="00A17D0C">
      <w:r>
        <w:t>ongoing assistance rather than a one-off referral.</w:t>
      </w:r>
    </w:p>
    <w:p w14:paraId="1D1326DA" w14:textId="297940DC" w:rsidR="00A17D0C" w:rsidRDefault="00A17D0C" w:rsidP="00A17D0C">
      <w:r>
        <w:t>The combination of counselling and legal support is particularly important. Victim-survivors frequently need help with interconnected emotional, safety, legal, financial, parenting and employment issues. Requiring them to locate and coordinate separate services can create further barriers at a time when they may already be overwhelmed or unsafe.</w:t>
      </w:r>
    </w:p>
    <w:p w14:paraId="08C3731E" w14:textId="2BB9F5D0" w:rsidR="00A17D0C" w:rsidRDefault="00A17D0C" w:rsidP="00A17D0C">
      <w:r>
        <w:t>Support for people using violence</w:t>
      </w:r>
    </w:p>
    <w:p w14:paraId="77D973D6" w14:textId="181807C1" w:rsidR="00A17D0C" w:rsidRDefault="00A17D0C" w:rsidP="00A17D0C">
      <w:r>
        <w:t>A distinctive feature of Safe &amp; Supported at Work is that it provides pathways for both victim-survivors and employees using, or concerned about using, harmful, abusive or controlling behaviours.</w:t>
      </w:r>
    </w:p>
    <w:p w14:paraId="1962A890" w14:textId="6CEE2CC2" w:rsidR="00A17D0C" w:rsidRDefault="00A17D0C" w:rsidP="00A17D0C">
      <w:r>
        <w:t>Employees concerned about their own behaviour can access confidential, accountability-focused support and referral to an appropriate intervention. This may include:</w:t>
      </w:r>
    </w:p>
    <w:p w14:paraId="78E96391" w14:textId="77777777" w:rsidR="00A17D0C" w:rsidRDefault="00A17D0C" w:rsidP="00A17D0C">
      <w:r>
        <w:t>early conversations about harmful or controlling behaviour;</w:t>
      </w:r>
    </w:p>
    <w:p w14:paraId="2C9DA7EA" w14:textId="77777777" w:rsidR="00A17D0C" w:rsidRDefault="00A17D0C" w:rsidP="00A17D0C">
      <w:r>
        <w:t>support to recognise the impact of their behaviour on partners, children and others;</w:t>
      </w:r>
    </w:p>
    <w:p w14:paraId="373F87C3" w14:textId="77777777" w:rsidR="00A17D0C" w:rsidRDefault="00A17D0C" w:rsidP="00A17D0C">
      <w:r>
        <w:lastRenderedPageBreak/>
        <w:t>motivational and accountability-oriented counselling;</w:t>
      </w:r>
    </w:p>
    <w:p w14:paraId="1B480FD2" w14:textId="77777777" w:rsidR="00A17D0C" w:rsidRDefault="00A17D0C" w:rsidP="00A17D0C">
      <w:r>
        <w:t>assessment of the most appropriate intervention pathway;</w:t>
      </w:r>
    </w:p>
    <w:p w14:paraId="3693A5CF" w14:textId="77777777" w:rsidR="00A17D0C" w:rsidRDefault="00A17D0C" w:rsidP="00A17D0C">
      <w:r>
        <w:t>referral to Men’s Behaviour Change Programs or other specialist responses; and</w:t>
      </w:r>
    </w:p>
    <w:p w14:paraId="7209CA7C" w14:textId="083810C8" w:rsidR="00A17D0C" w:rsidRDefault="00A17D0C" w:rsidP="00A17D0C">
      <w:r>
        <w:t>support to engage with and remain connected to further intervention.</w:t>
      </w:r>
    </w:p>
    <w:p w14:paraId="1D48DD8D" w14:textId="69E87756" w:rsidR="00A17D0C" w:rsidRDefault="00A17D0C" w:rsidP="00A17D0C">
      <w:r>
        <w:t>Providing a safe pathway for employees using violence does not diminish accountability or suggest that workplace counselling can replace a specialist behaviour-change program. It creates an opportunity to engage people earlier, including those who may never independently approach a perpetrator intervention service.</w:t>
      </w:r>
    </w:p>
    <w:p w14:paraId="2B3F0B8F" w14:textId="1636FE4E" w:rsidR="00A17D0C" w:rsidRDefault="00A17D0C" w:rsidP="00A17D0C">
      <w:r>
        <w:t>Victim-survivor and child safety must remain central. Support for a person using violence should be delivered through clear practice protocols, appropriate risk assessment and referral pathways, and should not compromise the confidentiality or safety of affected family members.</w:t>
      </w:r>
    </w:p>
    <w:p w14:paraId="3FA55DA0" w14:textId="56C6A491" w:rsidR="00A17D0C" w:rsidRDefault="00A17D0C" w:rsidP="00A17D0C">
      <w:r>
        <w:t>Support for employers</w:t>
      </w:r>
    </w:p>
    <w:p w14:paraId="62ADE705" w14:textId="1DA42B4A" w:rsidR="00A17D0C" w:rsidRDefault="00A17D0C" w:rsidP="00A17D0C">
      <w:r>
        <w:t>Safe &amp; Supported at Work also assists employers, managers and human resources teams through:</w:t>
      </w:r>
    </w:p>
    <w:p w14:paraId="44848781" w14:textId="77777777" w:rsidR="00A17D0C" w:rsidRDefault="00A17D0C" w:rsidP="00A17D0C">
      <w:r>
        <w:t>specialist consultation on responding to disclosures and concerns;</w:t>
      </w:r>
    </w:p>
    <w:p w14:paraId="2B4F2DCA" w14:textId="77777777" w:rsidR="00A17D0C" w:rsidRDefault="00A17D0C" w:rsidP="00A17D0C">
      <w:r>
        <w:t>advice on family violence policies and procedures;</w:t>
      </w:r>
    </w:p>
    <w:p w14:paraId="179C74A1" w14:textId="77777777" w:rsidR="00A17D0C" w:rsidRDefault="00A17D0C" w:rsidP="00A17D0C">
      <w:r>
        <w:t>guidance on workplace safety planning;</w:t>
      </w:r>
    </w:p>
    <w:p w14:paraId="6832FA96" w14:textId="77777777" w:rsidR="00A17D0C" w:rsidRDefault="00A17D0C" w:rsidP="00A17D0C">
      <w:r>
        <w:t>support to respond to misuse of workplace systems, devices or contact information;</w:t>
      </w:r>
    </w:p>
    <w:p w14:paraId="06C42BE1" w14:textId="77777777" w:rsidR="00A17D0C" w:rsidRDefault="00A17D0C" w:rsidP="00A17D0C">
      <w:r>
        <w:t>assistance where family violence creates risks for colleagues or workplace sites;</w:t>
      </w:r>
    </w:p>
    <w:p w14:paraId="2ED412FB" w14:textId="77777777" w:rsidR="00A17D0C" w:rsidRDefault="00A17D0C" w:rsidP="00A17D0C">
      <w:r>
        <w:t>workforce capability building;</w:t>
      </w:r>
    </w:p>
    <w:p w14:paraId="18E90286" w14:textId="77777777" w:rsidR="00A17D0C" w:rsidRDefault="00A17D0C" w:rsidP="00A17D0C">
      <w:r>
        <w:t>clarification of the respective roles of managers, human resources staff, counsellors and legal practitioners; and</w:t>
      </w:r>
    </w:p>
    <w:p w14:paraId="69820E65" w14:textId="3E1D7CD7" w:rsidR="00A17D0C" w:rsidRDefault="00A17D0C" w:rsidP="00A17D0C">
      <w:r>
        <w:t>referral pathways for victim-survivors and employees using violence.</w:t>
      </w:r>
    </w:p>
    <w:p w14:paraId="6E4861F9" w14:textId="0C4B1E79" w:rsidR="00A17D0C" w:rsidRDefault="00A17D0C" w:rsidP="00A17D0C">
      <w:r>
        <w:t>A key strength of the model is its integrated and dual focus. Policies and manager training are insufficient without confidential, specialist assistance for employees. Individual counselling alone may also have limited impact where organisational responses are inconsistent, unclear or unsafe. Legal support is critical where employees need advice about protection orders, family law, employment rights, financial matters or other legal consequences of violence.</w:t>
      </w:r>
    </w:p>
    <w:p w14:paraId="59260512" w14:textId="38DCBDAE" w:rsidR="00A17D0C" w:rsidRDefault="00A17D0C" w:rsidP="00A17D0C">
      <w:r>
        <w:t xml:space="preserve">Safe &amp; Supported at Work does not expect employers to conduct specialist family violence risk assessments, provide legal advice or deliver behaviour-change treatment. </w:t>
      </w:r>
      <w:r>
        <w:lastRenderedPageBreak/>
        <w:t>The employer’s role is to recognise indicators, respond appropriately, manage workplace risks and facilitate access to qualified support.</w:t>
      </w:r>
    </w:p>
    <w:p w14:paraId="0A5640F0" w14:textId="07659F1F" w:rsidR="00A17D0C" w:rsidRDefault="00A17D0C" w:rsidP="00A17D0C">
      <w:r>
        <w:t>Opportunity for the Second Action Plan</w:t>
      </w:r>
    </w:p>
    <w:p w14:paraId="43020B29" w14:textId="609612BF" w:rsidR="00A17D0C" w:rsidRDefault="00A17D0C" w:rsidP="00A17D0C">
      <w:r>
        <w:t>The Second Action Plan should fund the demonstration, independent evaluation and expansion of integrated workplace models such as Safe &amp; Supported at Work.</w:t>
      </w:r>
    </w:p>
    <w:p w14:paraId="13BCA6A8" w14:textId="785A02D9" w:rsidR="00A17D0C" w:rsidRDefault="00A17D0C" w:rsidP="00A17D0C">
      <w:r>
        <w:t>This should include shared-access models for small and medium-sized employers that may not have sufficient internal expertise or resources to establish comprehensive family violence responses.</w:t>
      </w:r>
    </w:p>
    <w:p w14:paraId="38924E98" w14:textId="302C3A64" w:rsidR="00A17D0C" w:rsidRDefault="00A17D0C" w:rsidP="00A17D0C">
      <w:r>
        <w:t>Evaluation should examine:</w:t>
      </w:r>
    </w:p>
    <w:p w14:paraId="5FDDFBC7" w14:textId="77777777" w:rsidR="00A17D0C" w:rsidRDefault="00A17D0C" w:rsidP="00A17D0C">
      <w:r>
        <w:t>earlier disclosure and connection with support;</w:t>
      </w:r>
    </w:p>
    <w:p w14:paraId="6210E3F9" w14:textId="77777777" w:rsidR="00A17D0C" w:rsidRDefault="00A17D0C" w:rsidP="00A17D0C">
      <w:r>
        <w:t>improved safety for victim-survivors and children;</w:t>
      </w:r>
    </w:p>
    <w:p w14:paraId="3D06A9C3" w14:textId="77777777" w:rsidR="00A17D0C" w:rsidRDefault="00A17D0C" w:rsidP="00A17D0C">
      <w:r>
        <w:t>access to timely legal assistance;</w:t>
      </w:r>
    </w:p>
    <w:p w14:paraId="43AB83AB" w14:textId="77777777" w:rsidR="00A17D0C" w:rsidRDefault="00A17D0C" w:rsidP="00A17D0C">
      <w:r>
        <w:t>employment continuity and financial security;</w:t>
      </w:r>
    </w:p>
    <w:p w14:paraId="25E70B31" w14:textId="77777777" w:rsidR="00A17D0C" w:rsidRDefault="00A17D0C" w:rsidP="00A17D0C">
      <w:r>
        <w:t>safe engagement and referral of employees using violence;</w:t>
      </w:r>
    </w:p>
    <w:p w14:paraId="2BA52900" w14:textId="77777777" w:rsidR="00A17D0C" w:rsidRDefault="00A17D0C" w:rsidP="00A17D0C">
      <w:r>
        <w:t>manager and human resources confidence;</w:t>
      </w:r>
    </w:p>
    <w:p w14:paraId="7A22A270" w14:textId="77777777" w:rsidR="00A17D0C" w:rsidRDefault="00A17D0C" w:rsidP="00A17D0C">
      <w:r>
        <w:t>appropriate management of workplace risks; and</w:t>
      </w:r>
    </w:p>
    <w:p w14:paraId="352B5A32" w14:textId="2BC8D609" w:rsidR="00A17D0C" w:rsidRDefault="00A17D0C" w:rsidP="00A17D0C">
      <w:r>
        <w:t>stronger connections between workplaces and family violence, legal and Family and Relationship Services.</w:t>
      </w:r>
    </w:p>
    <w:p w14:paraId="5E022E44" w14:textId="52C7EA97" w:rsidR="00A17D0C" w:rsidRDefault="00A17D0C" w:rsidP="00A17D0C">
      <w:r>
        <w:t>Relationship Matters recommends that the Second Action Plan:</w:t>
      </w:r>
    </w:p>
    <w:p w14:paraId="14B5C8B6" w14:textId="77777777" w:rsidR="00A17D0C" w:rsidRDefault="00A17D0C" w:rsidP="00A17D0C">
      <w:r>
        <w:t>Recognise workplaces as core settings for prevention, early intervention and recovery.</w:t>
      </w:r>
    </w:p>
    <w:p w14:paraId="1CE1B813" w14:textId="77777777" w:rsidR="00A17D0C" w:rsidRDefault="00A17D0C" w:rsidP="00A17D0C">
      <w:r>
        <w:t>Fund and evaluate integrated models such as Relationship Matters’ Safe &amp; Supported at Work.</w:t>
      </w:r>
    </w:p>
    <w:p w14:paraId="1A5F6F18" w14:textId="77777777" w:rsidR="00A17D0C" w:rsidRDefault="00A17D0C" w:rsidP="00A17D0C">
      <w:r>
        <w:t>Support partnership models that bring together EAP, therapeutic, family violence and not-for-profit legal expertise.</w:t>
      </w:r>
    </w:p>
    <w:p w14:paraId="5A35BC6A" w14:textId="77777777" w:rsidR="00A17D0C" w:rsidRDefault="00A17D0C" w:rsidP="00A17D0C">
      <w:r>
        <w:t>Ensure workplace models provide safe and distinct pathways for both victim-survivors and people using violence.</w:t>
      </w:r>
    </w:p>
    <w:p w14:paraId="5A8A2066" w14:textId="77777777" w:rsidR="00A17D0C" w:rsidRDefault="00A17D0C" w:rsidP="00A17D0C">
      <w:r>
        <w:t>Fund specialist legal support as an integral part of workplace family violence responses.</w:t>
      </w:r>
    </w:p>
    <w:p w14:paraId="0009C67F" w14:textId="77777777" w:rsidR="00A17D0C" w:rsidRDefault="00A17D0C" w:rsidP="00A17D0C">
      <w:r>
        <w:t>Provide small and medium-sized employers with access to specialist consultation and employee support.</w:t>
      </w:r>
    </w:p>
    <w:p w14:paraId="121096A9" w14:textId="77777777" w:rsidR="00A17D0C" w:rsidRDefault="00A17D0C" w:rsidP="00A17D0C">
      <w:r>
        <w:lastRenderedPageBreak/>
        <w:t>Develop national guidance covering workplace disclosures, safety planning, legal support, technology-facilitated abuse and responses to employees using harmful behaviours.</w:t>
      </w:r>
    </w:p>
    <w:p w14:paraId="7D7236E8" w14:textId="73AF0975" w:rsidR="00A17D0C" w:rsidRPr="00A17D0C" w:rsidRDefault="00A17D0C" w:rsidP="00A17D0C">
      <w:r>
        <w:t>Strengthen coordination between workplaces, Family and Relationship Services, specialist family violence services, legal assistance and behaviour-change programs.</w:t>
      </w:r>
    </w:p>
    <w:sectPr w:rsidR="00A17D0C" w:rsidRPr="00A17D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D0C"/>
    <w:rsid w:val="00022A23"/>
    <w:rsid w:val="0023679E"/>
    <w:rsid w:val="008F159A"/>
    <w:rsid w:val="00A17D0C"/>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4D9FE"/>
  <w15:chartTrackingRefBased/>
  <w15:docId w15:val="{BA9477E3-CF53-4A71-A1B1-65629EB91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7D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7D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7D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7D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7D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7D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7D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7D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7D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D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7D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7D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7D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7D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7D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7D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7D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7D0C"/>
    <w:rPr>
      <w:rFonts w:eastAsiaTheme="majorEastAsia" w:cstheme="majorBidi"/>
      <w:color w:val="272727" w:themeColor="text1" w:themeTint="D8"/>
    </w:rPr>
  </w:style>
  <w:style w:type="paragraph" w:styleId="Title">
    <w:name w:val="Title"/>
    <w:basedOn w:val="Normal"/>
    <w:next w:val="Normal"/>
    <w:link w:val="TitleChar"/>
    <w:uiPriority w:val="10"/>
    <w:qFormat/>
    <w:rsid w:val="00A17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D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7D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7D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7D0C"/>
    <w:pPr>
      <w:spacing w:before="160"/>
      <w:jc w:val="center"/>
    </w:pPr>
    <w:rPr>
      <w:i/>
      <w:iCs/>
      <w:color w:val="404040" w:themeColor="text1" w:themeTint="BF"/>
    </w:rPr>
  </w:style>
  <w:style w:type="character" w:customStyle="1" w:styleId="QuoteChar">
    <w:name w:val="Quote Char"/>
    <w:basedOn w:val="DefaultParagraphFont"/>
    <w:link w:val="Quote"/>
    <w:uiPriority w:val="29"/>
    <w:rsid w:val="00A17D0C"/>
    <w:rPr>
      <w:i/>
      <w:iCs/>
      <w:color w:val="404040" w:themeColor="text1" w:themeTint="BF"/>
    </w:rPr>
  </w:style>
  <w:style w:type="paragraph" w:styleId="ListParagraph">
    <w:name w:val="List Paragraph"/>
    <w:basedOn w:val="Normal"/>
    <w:uiPriority w:val="34"/>
    <w:qFormat/>
    <w:rsid w:val="00A17D0C"/>
    <w:pPr>
      <w:ind w:left="720"/>
      <w:contextualSpacing/>
    </w:pPr>
  </w:style>
  <w:style w:type="character" w:styleId="IntenseEmphasis">
    <w:name w:val="Intense Emphasis"/>
    <w:basedOn w:val="DefaultParagraphFont"/>
    <w:uiPriority w:val="21"/>
    <w:qFormat/>
    <w:rsid w:val="00A17D0C"/>
    <w:rPr>
      <w:i/>
      <w:iCs/>
      <w:color w:val="0F4761" w:themeColor="accent1" w:themeShade="BF"/>
    </w:rPr>
  </w:style>
  <w:style w:type="paragraph" w:styleId="IntenseQuote">
    <w:name w:val="Intense Quote"/>
    <w:basedOn w:val="Normal"/>
    <w:next w:val="Normal"/>
    <w:link w:val="IntenseQuoteChar"/>
    <w:uiPriority w:val="30"/>
    <w:qFormat/>
    <w:rsid w:val="00A17D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7D0C"/>
    <w:rPr>
      <w:i/>
      <w:iCs/>
      <w:color w:val="0F4761" w:themeColor="accent1" w:themeShade="BF"/>
    </w:rPr>
  </w:style>
  <w:style w:type="character" w:styleId="IntenseReference">
    <w:name w:val="Intense Reference"/>
    <w:basedOn w:val="DefaultParagraphFont"/>
    <w:uiPriority w:val="32"/>
    <w:qFormat/>
    <w:rsid w:val="00A17D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6BC143-8D58-4120-AFD9-AE8EDB0B8B60}"/>
</file>

<file path=customXml/itemProps2.xml><?xml version="1.0" encoding="utf-8"?>
<ds:datastoreItem xmlns:ds="http://schemas.openxmlformats.org/officeDocument/2006/customXml" ds:itemID="{4B4285AB-B999-442B-A920-EF6019F2BCB2}"/>
</file>

<file path=customXml/itemProps3.xml><?xml version="1.0" encoding="utf-8"?>
<ds:datastoreItem xmlns:ds="http://schemas.openxmlformats.org/officeDocument/2006/customXml" ds:itemID="{554C4269-AD8F-4F10-AD31-F3271C80ED26}"/>
</file>

<file path=docProps/app.xml><?xml version="1.0" encoding="utf-8"?>
<Properties xmlns="http://schemas.openxmlformats.org/officeDocument/2006/extended-properties" xmlns:vt="http://schemas.openxmlformats.org/officeDocument/2006/docPropsVTypes">
  <Template>Normal.dotm</Template>
  <TotalTime>7</TotalTime>
  <Pages>26</Pages>
  <Words>7735</Words>
  <Characters>44093</Characters>
  <Application>Microsoft Office Word</Application>
  <DocSecurity>0</DocSecurity>
  <Lines>367</Lines>
  <Paragraphs>103</Paragraphs>
  <ScaleCrop>false</ScaleCrop>
  <Company/>
  <LinksUpToDate>false</LinksUpToDate>
  <CharactersWithSpaces>51725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2026-09-04T04:32:00Z</dcterms:created>
  <dcterms:modified xsi:type="dcterms:W3CDTF">2026-09-04T04:39:00Z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