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3C3E" w14:textId="5CD66CDF" w:rsidR="005646D3" w:rsidRPr="001F74CE" w:rsidRDefault="00590190">
      <w:pPr>
        <w:spacing w:before="760"/>
        <w:rPr>
          <w:rFonts w:ascii="Mangal Pro" w:hAnsi="Mangal Pro" w:cs="Mangal Pro"/>
          <w:b/>
          <w:color w:val="5F497A" w:themeColor="accent4" w:themeShade="BF"/>
          <w:sz w:val="32"/>
          <w:szCs w:val="32"/>
        </w:rPr>
      </w:pPr>
      <w:r w:rsidRPr="001F74CE">
        <w:rPr>
          <w:rFonts w:ascii="Mangal Pro" w:hAnsi="Mangal Pro" w:cs="Mangal Pro"/>
          <w:b/>
          <w:color w:val="5F497A" w:themeColor="accent4" w:themeShade="BF"/>
          <w:sz w:val="32"/>
          <w:szCs w:val="32"/>
        </w:rPr>
        <w:t>Relationship Matters</w:t>
      </w:r>
    </w:p>
    <w:p w14:paraId="64AEE69F" w14:textId="77777777" w:rsidR="005646D3" w:rsidRDefault="00F148AC">
      <w:pPr>
        <w:spacing w:before="600" w:after="160"/>
      </w:pPr>
      <w:r>
        <w:rPr>
          <w:rFonts w:ascii="Aptos Display" w:eastAsia="Aptos Display" w:hAnsi="Aptos Display"/>
          <w:b/>
          <w:color w:val="123E52"/>
          <w:sz w:val="50"/>
        </w:rPr>
        <w:t>Submission to the consultation on the Second Action Plan</w:t>
      </w:r>
    </w:p>
    <w:p w14:paraId="24D24245" w14:textId="77777777" w:rsidR="005646D3" w:rsidRDefault="00F148AC">
      <w:pPr>
        <w:spacing w:after="400"/>
      </w:pPr>
      <w:r>
        <w:rPr>
          <w:rFonts w:ascii="Aptos Display" w:eastAsia="Aptos Display" w:hAnsi="Aptos Display"/>
          <w:b/>
          <w:color w:val="2A8191"/>
          <w:sz w:val="30"/>
        </w:rPr>
        <w:t>National Plan to End Violence against Women and Children 2022-2032</w:t>
      </w:r>
    </w:p>
    <w:tbl>
      <w:tblPr>
        <w:tblW w:w="0" w:type="auto"/>
        <w:tblLayout w:type="fixed"/>
        <w:tblLook w:val="04A0" w:firstRow="1" w:lastRow="0" w:firstColumn="1" w:lastColumn="0" w:noHBand="0" w:noVBand="1"/>
      </w:tblPr>
      <w:tblGrid>
        <w:gridCol w:w="9808"/>
      </w:tblGrid>
      <w:tr w:rsidR="005646D3" w14:paraId="4546DB0F" w14:textId="77777777">
        <w:tc>
          <w:tcPr>
            <w:tcW w:w="9808" w:type="dxa"/>
            <w:shd w:val="clear" w:color="auto" w:fill="B68A3A"/>
            <w:tcMar>
              <w:top w:w="16" w:type="dxa"/>
              <w:left w:w="0" w:type="dxa"/>
              <w:bottom w:w="16" w:type="dxa"/>
              <w:right w:w="0" w:type="dxa"/>
            </w:tcMar>
          </w:tcPr>
          <w:p w14:paraId="3145291C" w14:textId="77777777" w:rsidR="005646D3" w:rsidRDefault="005646D3">
            <w:pPr>
              <w:spacing w:line="240" w:lineRule="auto"/>
            </w:pPr>
          </w:p>
        </w:tc>
      </w:tr>
    </w:tbl>
    <w:p w14:paraId="4A4E97A7" w14:textId="77777777" w:rsidR="005646D3" w:rsidRDefault="00F148AC">
      <w:pPr>
        <w:spacing w:before="560"/>
      </w:pPr>
      <w:r>
        <w:rPr>
          <w:b/>
          <w:sz w:val="22"/>
        </w:rPr>
        <w:t>Prepared by Relationship Matters Counselling &amp; Mediation</w:t>
      </w:r>
    </w:p>
    <w:p w14:paraId="441CCD44" w14:textId="77777777" w:rsidR="005646D3" w:rsidRDefault="00F148AC">
      <w:pPr>
        <w:spacing w:after="60"/>
      </w:pPr>
      <w:r>
        <w:rPr>
          <w:color w:val="5B6C74"/>
          <w:sz w:val="21"/>
        </w:rPr>
        <w:t>July 2026</w:t>
      </w:r>
    </w:p>
    <w:p w14:paraId="4F06B532" w14:textId="701B1794" w:rsidR="005646D3" w:rsidRDefault="00F148AC" w:rsidP="00460402">
      <w:pPr>
        <w:spacing w:before="240" w:after="40"/>
      </w:pPr>
      <w:r>
        <w:rPr>
          <w:sz w:val="20"/>
        </w:rPr>
        <w:t xml:space="preserve">Contact: </w:t>
      </w:r>
      <w:r w:rsidR="00460402" w:rsidRPr="00460402">
        <w:rPr>
          <w:sz w:val="20"/>
          <w:lang w:val="en-AU"/>
        </w:rPr>
        <w:t>[REDACTED]</w:t>
      </w:r>
      <w:r>
        <w:rPr>
          <w:sz w:val="20"/>
        </w:rPr>
        <w:t xml:space="preserve">, </w:t>
      </w:r>
      <w:r w:rsidR="00460402" w:rsidRPr="00460402">
        <w:rPr>
          <w:sz w:val="20"/>
          <w:lang w:val="en-AU"/>
        </w:rPr>
        <w:t>[REDACTED]</w:t>
      </w:r>
      <w:r>
        <w:rPr>
          <w:i/>
          <w:color w:val="5B6C74"/>
          <w:sz w:val="16"/>
        </w:rPr>
        <w:t>.</w:t>
      </w:r>
    </w:p>
    <w:p w14:paraId="4F621448" w14:textId="77777777" w:rsidR="005646D3" w:rsidRDefault="00F148AC">
      <w:r>
        <w:br w:type="page"/>
      </w:r>
    </w:p>
    <w:p w14:paraId="00B0F530" w14:textId="77777777" w:rsidR="005646D3" w:rsidRDefault="00F148AC">
      <w:pPr>
        <w:pStyle w:val="Heading1"/>
      </w:pPr>
      <w:r>
        <w:lastRenderedPageBreak/>
        <w:t>Executive summary</w:t>
      </w:r>
    </w:p>
    <w:p w14:paraId="1FBADC8D" w14:textId="77777777" w:rsidR="005646D3" w:rsidRDefault="00F148AC">
      <w:pPr>
        <w:pStyle w:val="BodyText"/>
        <w:spacing w:after="100"/>
      </w:pPr>
      <w:r>
        <w:t>Relationship Matters (RM) welcomes the opportunity to contribute to the development of the Second Action Plan under the National Plan to End Violence against Women and Children 2022-2032.</w:t>
      </w:r>
    </w:p>
    <w:p w14:paraId="5EABC3D8" w14:textId="77777777" w:rsidR="005646D3" w:rsidRDefault="00F148AC">
      <w:pPr>
        <w:pStyle w:val="BodyText"/>
        <w:spacing w:after="100"/>
      </w:pPr>
      <w:r>
        <w:t>RM’s central submission is that Australia will not end violence by relying primarily on crisis, specialist and justice-based responses. The Second Action Plan must also invest in the settings where victim-survivors and people using violence present before crisis, before formal identification, and often before they recognise their experiences or behaviours as family violence. The family and relationship services sector is one of the most significant of these early-intervention settings.</w:t>
      </w:r>
    </w:p>
    <w:p w14:paraId="7E852AC4" w14:textId="237B135B" w:rsidR="005646D3" w:rsidRDefault="00F148AC">
      <w:pPr>
        <w:pStyle w:val="BodyText"/>
        <w:spacing w:after="100"/>
      </w:pPr>
      <w:r w:rsidRPr="001F74CE">
        <w:t>At RM, family violence is identified in approximately four in five families presenting for family dispute resolution and is relevant to around 60 per cent of counselling clients.</w:t>
      </w:r>
      <w:r>
        <w:t xml:space="preserve"> People commonly approach RM for relationship distress, separation, parenting conflict, communication difficulties, mental health concerns or workplace impacts rather than explicitly seeking a family violence response</w:t>
      </w:r>
      <w:r w:rsidR="001F74CE">
        <w:t xml:space="preserve"> with the exception of RM’s Men’s Behaviour Change Programs</w:t>
      </w:r>
      <w:r>
        <w:t>. These presentations create critical opportunities for safe identification, risk assessment, support, accountability and referral.</w:t>
      </w:r>
    </w:p>
    <w:p w14:paraId="55C69BEF" w14:textId="0BE494AE" w:rsidR="005646D3" w:rsidRDefault="005646D3">
      <w:pPr>
        <w:spacing w:before="40" w:after="100"/>
      </w:pPr>
    </w:p>
    <w:tbl>
      <w:tblPr>
        <w:tblW w:w="0" w:type="auto"/>
        <w:jc w:val="center"/>
        <w:tblLayout w:type="fixed"/>
        <w:tblLook w:val="04A0" w:firstRow="1" w:lastRow="0" w:firstColumn="1" w:lastColumn="0" w:noHBand="0" w:noVBand="1"/>
      </w:tblPr>
      <w:tblGrid>
        <w:gridCol w:w="9808"/>
      </w:tblGrid>
      <w:tr w:rsidR="005646D3" w14:paraId="05A9979D" w14:textId="77777777">
        <w:trPr>
          <w:jc w:val="center"/>
        </w:trPr>
        <w:tc>
          <w:tcPr>
            <w:tcW w:w="9808" w:type="dxa"/>
            <w:tcBorders>
              <w:top w:val="single" w:sz="10" w:space="0" w:color="2A8191"/>
              <w:left w:val="single" w:sz="10" w:space="0" w:color="2A8191"/>
              <w:bottom w:val="single" w:sz="10" w:space="0" w:color="2A8191"/>
              <w:right w:val="single" w:sz="10" w:space="0" w:color="2A8191"/>
            </w:tcBorders>
            <w:shd w:val="clear" w:color="auto" w:fill="EAF4F5"/>
            <w:tcMar>
              <w:top w:w="160" w:type="dxa"/>
              <w:left w:w="200" w:type="dxa"/>
              <w:bottom w:w="160" w:type="dxa"/>
              <w:right w:w="200" w:type="dxa"/>
            </w:tcMar>
          </w:tcPr>
          <w:p w14:paraId="3F590E0B" w14:textId="77777777" w:rsidR="005646D3" w:rsidRDefault="00F148AC">
            <w:pPr>
              <w:spacing w:after="60" w:line="240" w:lineRule="auto"/>
            </w:pPr>
            <w:r>
              <w:rPr>
                <w:b/>
                <w:color w:val="123E52"/>
                <w:sz w:val="21"/>
              </w:rPr>
              <w:t>Core proposition</w:t>
            </w:r>
          </w:p>
          <w:p w14:paraId="567C9D41" w14:textId="77777777" w:rsidR="005646D3" w:rsidRDefault="00F148AC">
            <w:pPr>
              <w:spacing w:after="0" w:line="240" w:lineRule="auto"/>
            </w:pPr>
            <w:r>
              <w:rPr>
                <w:b/>
                <w:sz w:val="20"/>
              </w:rPr>
              <w:t>Recognise and fund family and relationship services as a core early-intervention layer of the national family violence response, not simply as a referral point outside it.</w:t>
            </w:r>
          </w:p>
        </w:tc>
      </w:tr>
    </w:tbl>
    <w:p w14:paraId="562A2312" w14:textId="77777777" w:rsidR="005646D3" w:rsidRDefault="005646D3">
      <w:pPr>
        <w:spacing w:after="0"/>
      </w:pPr>
    </w:p>
    <w:p w14:paraId="29905CDB" w14:textId="77777777" w:rsidR="005646D3" w:rsidRDefault="00F148AC">
      <w:pPr>
        <w:pStyle w:val="BodyText"/>
        <w:spacing w:after="100"/>
      </w:pPr>
      <w:r>
        <w:t>The evidence supports this position. FRSA’s 2025 member mapping identified at least 62 targeted programs for people who use violence delivered by family and relationship services organisations, engaging close to 6,000 participants annually. ANROWS and No to Violence emphasise that Men’s Behaviour Change Programs (MBCPs) are essential but cannot operate as a stand-alone solution; they must sit within a broader accountability and service system. Research led by Professor Kate Fitz-Gibbon similarly demonstrates the need for stronger readiness, engagement, individualised support and post-program pathways, and cautions against treating program completion as equivalent to sustained behaviour change.</w:t>
      </w:r>
    </w:p>
    <w:p w14:paraId="224705F1" w14:textId="3103F123" w:rsidR="005646D3" w:rsidRDefault="00F148AC">
      <w:pPr>
        <w:pStyle w:val="BodyText"/>
        <w:spacing w:after="100"/>
      </w:pPr>
      <w:r>
        <w:t xml:space="preserve">There is also a significant reform opportunity. The DSS reform, A </w:t>
      </w:r>
      <w:r w:rsidR="00B32539">
        <w:t>N</w:t>
      </w:r>
      <w:r>
        <w:t xml:space="preserve">ew </w:t>
      </w:r>
      <w:r w:rsidR="00B32539">
        <w:t>A</w:t>
      </w:r>
      <w:r>
        <w:t xml:space="preserve">pproach to </w:t>
      </w:r>
      <w:r w:rsidR="00B32539">
        <w:t>P</w:t>
      </w:r>
      <w:r>
        <w:t xml:space="preserve">rograms for </w:t>
      </w:r>
      <w:r w:rsidR="00B32539">
        <w:t>F</w:t>
      </w:r>
      <w:r>
        <w:t xml:space="preserve">amilies and </w:t>
      </w:r>
      <w:r w:rsidR="00B32539">
        <w:t>C</w:t>
      </w:r>
      <w:r>
        <w:t>hildren</w:t>
      </w:r>
      <w:r w:rsidR="00BB1BCB">
        <w:t xml:space="preserve">, will establish the </w:t>
      </w:r>
      <w:r w:rsidR="00BB1BCB" w:rsidRPr="00BB1BCB">
        <w:t>Children and Family Support (CaFS) Program</w:t>
      </w:r>
      <w:r>
        <w:t xml:space="preserve">, </w:t>
      </w:r>
      <w:r w:rsidR="00BB1BCB">
        <w:t>bringing</w:t>
      </w:r>
      <w:r>
        <w:t xml:space="preserve"> Family and Relationship Services and Specialised Family Violence Services into a more integrated national program. Separately, the Attorney-General’s Department review, Support for Separating Families, recommends more integrated family relationship hubs, family-violence-focused case management, child-inclusive practice, stronger specialist partnerships and legally assisted family dispute resolution. These reforms serve many of the same families and should be aligned with the Second Action Plan rather than implemented as parallel systems.</w:t>
      </w:r>
    </w:p>
    <w:p w14:paraId="19BBB3DD" w14:textId="77777777" w:rsidR="005646D3" w:rsidRDefault="00F148AC">
      <w:pPr>
        <w:pStyle w:val="Heading2"/>
      </w:pPr>
      <w:r>
        <w:t>RM’s key recommendations</w:t>
      </w:r>
    </w:p>
    <w:p w14:paraId="50EFD96F" w14:textId="77777777" w:rsidR="005646D3" w:rsidRDefault="00F148AC">
      <w:pPr>
        <w:keepLines/>
        <w:spacing w:before="100" w:after="60"/>
        <w:ind w:left="397" w:hanging="397"/>
      </w:pPr>
      <w:r>
        <w:rPr>
          <w:b/>
          <w:color w:val="123E52"/>
          <w:sz w:val="20"/>
        </w:rPr>
        <w:t>1. Recognise family and relationship services as core early-intervention infrastructure.</w:t>
      </w:r>
      <w:r>
        <w:t xml:space="preserve">  Explicitly include the sector in National Plan governance, commissioning, implementation and evaluation. Fund safe identification, risk assessment, brief intervention, secondary consultation, warm referral and continuity of care as core work.</w:t>
      </w:r>
    </w:p>
    <w:p w14:paraId="1C75615A" w14:textId="77777777" w:rsidR="005646D3" w:rsidRDefault="00F148AC">
      <w:pPr>
        <w:keepLines/>
        <w:spacing w:before="100" w:after="60"/>
        <w:ind w:left="397" w:hanging="397"/>
      </w:pPr>
      <w:r>
        <w:rPr>
          <w:b/>
          <w:color w:val="123E52"/>
          <w:sz w:val="20"/>
        </w:rPr>
        <w:t>2. Align the Second Action Plan with DSS and family law reform.</w:t>
      </w:r>
      <w:r>
        <w:t xml:space="preserve">  Establish a joint DSS–Attorney-General’s Department implementation mechanism linking the Second Action Plan, the families and children reform, and government consideration of the Support for Separating Families review.</w:t>
      </w:r>
    </w:p>
    <w:p w14:paraId="5E246DFE" w14:textId="06579F75" w:rsidR="005646D3" w:rsidRDefault="00F148AC">
      <w:pPr>
        <w:keepLines/>
        <w:spacing w:before="100" w:after="60"/>
        <w:ind w:left="397" w:hanging="397"/>
      </w:pPr>
      <w:r>
        <w:rPr>
          <w:b/>
          <w:color w:val="123E52"/>
          <w:sz w:val="20"/>
        </w:rPr>
        <w:t xml:space="preserve">3. </w:t>
      </w:r>
      <w:r w:rsidR="00D40577" w:rsidRPr="00D40577">
        <w:rPr>
          <w:b/>
          <w:color w:val="123E52"/>
          <w:sz w:val="20"/>
        </w:rPr>
        <w:t>Build safe “no wrong door” pathways and a shared web of accountability across the service system</w:t>
      </w:r>
      <w:r>
        <w:rPr>
          <w:b/>
          <w:color w:val="123E52"/>
          <w:sz w:val="20"/>
        </w:rPr>
        <w:t>.</w:t>
      </w:r>
      <w:r>
        <w:t xml:space="preserve">  </w:t>
      </w:r>
      <w:r w:rsidR="00D40577" w:rsidRPr="00D40577">
        <w:t xml:space="preserve">Every point of contact </w:t>
      </w:r>
      <w:r w:rsidR="00D40577">
        <w:t>-</w:t>
      </w:r>
      <w:r w:rsidR="00D40577" w:rsidRPr="00D40577">
        <w:t xml:space="preserve"> specialist family violence, family relationship, family law, health, mental health, child and family services, and workplaces </w:t>
      </w:r>
      <w:r w:rsidR="00D40577">
        <w:t>-</w:t>
      </w:r>
      <w:r w:rsidR="00D40577" w:rsidRPr="00D40577">
        <w:t xml:space="preserve"> must be able to identify and respond to </w:t>
      </w:r>
      <w:r w:rsidR="001F74CE" w:rsidRPr="00D40577">
        <w:t>risks</w:t>
      </w:r>
      <w:r w:rsidR="00D40577" w:rsidRPr="00D40577">
        <w:t>, prioritise the safety of victim-survivors and children, maintain visibility of the person using violence, and contribute to holding them accountable. Victim-survivors should be connected to the right support early, without repeated disclosure, fragmented referrals or referral loops.</w:t>
      </w:r>
    </w:p>
    <w:p w14:paraId="369CA13C" w14:textId="77777777" w:rsidR="005646D3" w:rsidRDefault="00F148AC">
      <w:pPr>
        <w:keepLines/>
        <w:spacing w:before="100" w:after="60"/>
        <w:ind w:left="397" w:hanging="397"/>
      </w:pPr>
      <w:r>
        <w:rPr>
          <w:b/>
          <w:color w:val="123E52"/>
          <w:sz w:val="20"/>
        </w:rPr>
        <w:t>4. Establish a risk-responsive continuum for people who use violence.</w:t>
      </w:r>
      <w:r>
        <w:t xml:space="preserve">  Fund brief and motivational interventions, individual work, case management, structured group programs, intensive MBCPs and coordinated high-risk responses, with dynamic assessment and victim-survivor safety at the centre.</w:t>
      </w:r>
    </w:p>
    <w:p w14:paraId="31E24D38" w14:textId="77777777" w:rsidR="005646D3" w:rsidRDefault="00F148AC">
      <w:pPr>
        <w:keepLines/>
        <w:spacing w:before="100" w:after="60"/>
        <w:ind w:left="397" w:hanging="397"/>
      </w:pPr>
      <w:r>
        <w:rPr>
          <w:b/>
          <w:color w:val="123E52"/>
          <w:sz w:val="20"/>
        </w:rPr>
        <w:t>5. Fund tailored, culturally safe and accessible interventions.</w:t>
      </w:r>
      <w:r>
        <w:t xml:space="preserve">  Commission co-designed responses for migrant and refugee communities, LGBTIQA+ communities, people with disability, young people and other cohorts. First Nations responses must be Aboriginal-led and preferably community-controlled.</w:t>
      </w:r>
    </w:p>
    <w:p w14:paraId="51B92FB0" w14:textId="77777777" w:rsidR="005646D3" w:rsidRDefault="00F148AC">
      <w:pPr>
        <w:keepLines/>
        <w:spacing w:before="100" w:after="60"/>
        <w:ind w:left="397" w:hanging="397"/>
      </w:pPr>
      <w:r>
        <w:rPr>
          <w:b/>
          <w:color w:val="123E52"/>
          <w:sz w:val="20"/>
        </w:rPr>
        <w:lastRenderedPageBreak/>
        <w:t>6. Extend MBCPs beyond the group room.</w:t>
      </w:r>
      <w:r>
        <w:t xml:space="preserve">  Fund assessment and readiness work, individual sessions, case management, independent partner/family safety contact, post-program maintenance and active follow-up when participants disengage.</w:t>
      </w:r>
    </w:p>
    <w:p w14:paraId="486764AE" w14:textId="77777777" w:rsidR="005646D3" w:rsidRDefault="00F148AC">
      <w:pPr>
        <w:keepLines/>
        <w:spacing w:before="100" w:after="60"/>
        <w:ind w:left="397" w:hanging="397"/>
      </w:pPr>
      <w:r>
        <w:rPr>
          <w:b/>
          <w:color w:val="123E52"/>
          <w:sz w:val="20"/>
        </w:rPr>
        <w:t>7. Scale and evaluate family-violence-informed LAFDR.</w:t>
      </w:r>
      <w:r>
        <w:t xml:space="preserve">  Support safe, legally informed pathways for suitable separating families while retaining rigorous screening, dynamic risk assessment, independent legal advice and the option not to mediate.</w:t>
      </w:r>
    </w:p>
    <w:p w14:paraId="418E36B6" w14:textId="77777777" w:rsidR="005646D3" w:rsidRDefault="00F148AC">
      <w:pPr>
        <w:keepLines/>
        <w:spacing w:before="100" w:after="60"/>
        <w:ind w:left="397" w:hanging="397"/>
      </w:pPr>
      <w:r>
        <w:rPr>
          <w:b/>
          <w:color w:val="123E52"/>
          <w:sz w:val="20"/>
        </w:rPr>
        <w:t>8. Invest in workplaces as early-intervention settings.</w:t>
      </w:r>
      <w:r>
        <w:t xml:space="preserve">  Build employer capability and confidential specialist pathways for victim-survivors and for employees concerned about, or using, harmful behaviours.</w:t>
      </w:r>
    </w:p>
    <w:p w14:paraId="07D5B33F" w14:textId="77777777" w:rsidR="005646D3" w:rsidRDefault="00F148AC">
      <w:pPr>
        <w:keepLines/>
        <w:spacing w:before="100" w:after="60"/>
        <w:ind w:left="397" w:hanging="397"/>
      </w:pPr>
      <w:r>
        <w:rPr>
          <w:b/>
          <w:color w:val="123E52"/>
          <w:sz w:val="20"/>
        </w:rPr>
        <w:t>9. Build a connected, capable and supported workforce.</w:t>
      </w:r>
      <w:r>
        <w:t xml:space="preserve">  Fund role-specific training, supervision, secondary consultation, cultural capability, workforce backfill, psychosocial safety and vicarious trauma supports.</w:t>
      </w:r>
    </w:p>
    <w:p w14:paraId="2C4A242C" w14:textId="34789186" w:rsidR="005646D3" w:rsidRDefault="00F148AC">
      <w:pPr>
        <w:keepLines/>
        <w:spacing w:before="100" w:after="60"/>
        <w:ind w:left="397" w:hanging="397"/>
      </w:pPr>
      <w:r>
        <w:rPr>
          <w:b/>
          <w:color w:val="123E52"/>
          <w:sz w:val="20"/>
        </w:rPr>
        <w:t>10. Strengthen data, outcomes and evaluation.</w:t>
      </w:r>
      <w:r>
        <w:t xml:space="preserve">  Measure victim-survivor and child safety, accountability and sustained change</w:t>
      </w:r>
      <w:r w:rsidR="00B32539">
        <w:t xml:space="preserve">, </w:t>
      </w:r>
      <w:r>
        <w:t>not only attendance and completion</w:t>
      </w:r>
      <w:r w:rsidR="00B32539">
        <w:t xml:space="preserve">, </w:t>
      </w:r>
      <w:r>
        <w:t>and fund independent and longitudinal evaluation of innovative and tailored models.</w:t>
      </w:r>
    </w:p>
    <w:p w14:paraId="335A6CE0" w14:textId="77777777" w:rsidR="005646D3" w:rsidRDefault="00F148AC">
      <w:pPr>
        <w:pStyle w:val="Heading1"/>
      </w:pPr>
      <w:r>
        <w:t>About Relationship Matters</w:t>
      </w:r>
    </w:p>
    <w:p w14:paraId="2F0F8C64" w14:textId="03D98BCC" w:rsidR="005646D3" w:rsidRDefault="00F148AC">
      <w:pPr>
        <w:pStyle w:val="BodyText"/>
        <w:spacing w:after="100"/>
      </w:pPr>
      <w:r>
        <w:t xml:space="preserve">Relationship Matters is a Victorian not-for-profit organisation providing counselling, family dispute resolution and mediation, family law </w:t>
      </w:r>
      <w:r w:rsidR="00BB1BCB">
        <w:t>counselling</w:t>
      </w:r>
      <w:r>
        <w:t xml:space="preserve">, mental health supports, workplace </w:t>
      </w:r>
      <w:r w:rsidR="00BB1BCB">
        <w:t xml:space="preserve">EAP and wellbeing </w:t>
      </w:r>
      <w:r>
        <w:t>services, MBCPs and other family violence interventions. RM works with individuals, couples, children and families across metropolitan and regional communities, including people from migrant and refugee backgrounds and LGBTIQA+ communities.</w:t>
      </w:r>
    </w:p>
    <w:p w14:paraId="0289A8F4" w14:textId="77777777" w:rsidR="005646D3" w:rsidRDefault="00F148AC">
      <w:pPr>
        <w:pStyle w:val="BodyText"/>
        <w:spacing w:after="100"/>
      </w:pPr>
      <w:r>
        <w:t>RM is a prescribed organisation under Victoria’s Multi-Agency Risk Assessment and Management Framework (MARAM). Family violence risk identification and assessment are embedded across relevant programs rather than confined to specialist family violence services. All RM practitioners and clinicians have completed Safe &amp; Together training, supporting a consistent focus on the patterns of behaviour of the person using violence, the protective efforts of the non-offending parent, and the safety and wellbeing of children.</w:t>
      </w:r>
    </w:p>
    <w:p w14:paraId="76235D32" w14:textId="77777777" w:rsidR="005646D3" w:rsidRDefault="00F148AC">
      <w:pPr>
        <w:pStyle w:val="BodyText"/>
        <w:spacing w:after="100"/>
      </w:pPr>
      <w:r>
        <w:t>RM’s practice experience demonstrates that family violence often presents through relationship distress, separation, parenting conflict, family law processes and workplace impacts. This submission therefore focuses particularly on victim-survivors, prevention and early intervention, people who use violence, and system integration and workforce, while recognising children and young people as victim-survivors in their own right.</w:t>
      </w:r>
    </w:p>
    <w:p w14:paraId="45BB4F16" w14:textId="77777777" w:rsidR="005646D3" w:rsidRDefault="00F148AC">
      <w:pPr>
        <w:pStyle w:val="Heading1"/>
      </w:pPr>
      <w:r>
        <w:t>A strategic opportunity: align three major reform agendas</w:t>
      </w:r>
    </w:p>
    <w:p w14:paraId="3DD5DC94" w14:textId="77777777" w:rsidR="005646D3" w:rsidRDefault="00F148AC">
      <w:pPr>
        <w:pStyle w:val="BodyText"/>
        <w:spacing w:after="100"/>
      </w:pPr>
      <w:r>
        <w:t>The Second Action Plan is being developed at the same time as two major Commonwealth reform processes affecting the services through which families experiencing violence commonly seek help.</w:t>
      </w:r>
    </w:p>
    <w:p w14:paraId="507BEE95" w14:textId="77777777" w:rsidR="005646D3" w:rsidRDefault="00F148AC">
      <w:pPr>
        <w:pStyle w:val="Heading2"/>
      </w:pPr>
      <w:r>
        <w:t>DSS reform: programs for families and children</w:t>
      </w:r>
    </w:p>
    <w:p w14:paraId="3D7CBBA5" w14:textId="67402C29" w:rsidR="005646D3" w:rsidRDefault="00F148AC">
      <w:pPr>
        <w:pStyle w:val="BodyText"/>
        <w:spacing w:after="100"/>
      </w:pPr>
      <w:r>
        <w:t>The DSS reform proposes to bring five existing programs</w:t>
      </w:r>
      <w:r w:rsidR="00B32539">
        <w:t xml:space="preserve">, </w:t>
      </w:r>
      <w:r>
        <w:t>including Family and Relationship Services and Specialised Family Violence Services</w:t>
      </w:r>
      <w:r w:rsidR="00B32539">
        <w:t xml:space="preserve">, </w:t>
      </w:r>
      <w:r>
        <w:t>under a new national program</w:t>
      </w:r>
      <w:r w:rsidR="00B32539">
        <w:t xml:space="preserve"> (CaFS)</w:t>
      </w:r>
      <w:r>
        <w:t>. The reform is intended to reduce siloed delivery and create more streamlined and flexible support for children and families. This is a major opportunity to embed family violence identification, early intervention and specialist connection throughout the future service model, particularly for clients who do not approach a specialist family violence service or do not initially recognise their experiences or behaviours as violence.</w:t>
      </w:r>
    </w:p>
    <w:p w14:paraId="753789E5" w14:textId="77777777" w:rsidR="005646D3" w:rsidRDefault="00F148AC">
      <w:pPr>
        <w:pStyle w:val="Heading2"/>
      </w:pPr>
      <w:r>
        <w:t>Attorney-General’s review: Support for Separating Families</w:t>
      </w:r>
    </w:p>
    <w:p w14:paraId="6EB2180A" w14:textId="77777777" w:rsidR="005646D3" w:rsidRDefault="00F148AC">
      <w:pPr>
        <w:pStyle w:val="BodyText"/>
        <w:spacing w:after="100"/>
      </w:pPr>
      <w:r>
        <w:t>The 2024 Support for Separating Families review concluded that Family Relationships Services provide significant value but need a more integrated and holistic model. Its recommendations include family relationship centre hubs, funded case management with a family violence and safety focus, funded child-inclusive practice, formal partnerships with specialist services and legal assistance providers, and legally assisted family dispute resolution in appropriate cases.</w:t>
      </w:r>
    </w:p>
    <w:p w14:paraId="41512F98" w14:textId="77777777" w:rsidR="005646D3" w:rsidRDefault="00F148AC">
      <w:pPr>
        <w:pStyle w:val="BodyText"/>
        <w:spacing w:after="100"/>
      </w:pPr>
      <w:r>
        <w:t>The review did not include the DSS-funded Families and Children Activity programs. This creates a structural risk: services funded by DSS and the Attorney-General’s Department may be redesigned separately even though many clients move between them and present with the same family violence, child safety, legal and psychosocial needs. The Second Action Plan should provide the policy architecture that prevents this fragmentation.</w:t>
      </w:r>
    </w:p>
    <w:tbl>
      <w:tblPr>
        <w:tblW w:w="0" w:type="auto"/>
        <w:jc w:val="center"/>
        <w:tblLayout w:type="fixed"/>
        <w:tblLook w:val="04A0" w:firstRow="1" w:lastRow="0" w:firstColumn="1" w:lastColumn="0" w:noHBand="0" w:noVBand="1"/>
      </w:tblPr>
      <w:tblGrid>
        <w:gridCol w:w="9808"/>
      </w:tblGrid>
      <w:tr w:rsidR="005646D3" w14:paraId="2140765E" w14:textId="77777777">
        <w:trPr>
          <w:jc w:val="center"/>
        </w:trPr>
        <w:tc>
          <w:tcPr>
            <w:tcW w:w="9808" w:type="dxa"/>
            <w:tcBorders>
              <w:top w:val="single" w:sz="10" w:space="0" w:color="123E52"/>
              <w:left w:val="single" w:sz="10" w:space="0" w:color="123E52"/>
              <w:bottom w:val="single" w:sz="10" w:space="0" w:color="123E52"/>
              <w:right w:val="single" w:sz="10" w:space="0" w:color="123E52"/>
            </w:tcBorders>
            <w:shd w:val="clear" w:color="auto" w:fill="EEF3F8"/>
            <w:tcMar>
              <w:top w:w="160" w:type="dxa"/>
              <w:left w:w="200" w:type="dxa"/>
              <w:bottom w:w="160" w:type="dxa"/>
              <w:right w:w="200" w:type="dxa"/>
            </w:tcMar>
          </w:tcPr>
          <w:p w14:paraId="629BACB7" w14:textId="77777777" w:rsidR="005646D3" w:rsidRDefault="00F148AC">
            <w:pPr>
              <w:spacing w:after="60" w:line="240" w:lineRule="auto"/>
            </w:pPr>
            <w:r>
              <w:rPr>
                <w:b/>
                <w:color w:val="123E52"/>
                <w:sz w:val="21"/>
              </w:rPr>
              <w:lastRenderedPageBreak/>
              <w:t>Recommended cross-portfolio mechanism</w:t>
            </w:r>
          </w:p>
          <w:p w14:paraId="093DC1CC" w14:textId="77777777" w:rsidR="005646D3" w:rsidRDefault="00F148AC">
            <w:pPr>
              <w:spacing w:after="0" w:line="240" w:lineRule="auto"/>
            </w:pPr>
            <w:r>
              <w:rPr>
                <w:b/>
                <w:sz w:val="20"/>
              </w:rPr>
              <w:t>Create a joint DSS–Attorney-General’s Department implementation mechanism, with family violence and lived-experience expertise, to align commissioning, capability standards, screening and risk assessment, information sharing, referral pathways, child-inclusive practice, perpetrator accountability, outcome measures and evaluation across the three reform agendas.</w:t>
            </w:r>
          </w:p>
        </w:tc>
      </w:tr>
    </w:tbl>
    <w:p w14:paraId="4109C406" w14:textId="77777777" w:rsidR="005646D3" w:rsidRDefault="005646D3">
      <w:pPr>
        <w:spacing w:after="0"/>
      </w:pPr>
    </w:p>
    <w:p w14:paraId="2EB1E5C9" w14:textId="77777777" w:rsidR="005646D3" w:rsidRDefault="00F148AC">
      <w:pPr>
        <w:pStyle w:val="BodyText"/>
        <w:spacing w:after="100"/>
      </w:pPr>
      <w:r>
        <w:t>Alignment does not require every service to perform every function. It requires clear roles, specialist leadership, reliable pathways, shared outcomes and funding that follows the real complexity of families’ needs. It should also preserve the leadership and distinct expertise of specialist family violence and Aboriginal Community Controlled Organisations.</w:t>
      </w:r>
    </w:p>
    <w:p w14:paraId="79C90E0F" w14:textId="77777777" w:rsidR="005646D3" w:rsidRDefault="00F148AC">
      <w:pPr>
        <w:pStyle w:val="Heading1"/>
      </w:pPr>
      <w:r>
        <w:t>Priority Area 1: Victim-survivors</w:t>
      </w:r>
    </w:p>
    <w:p w14:paraId="312D3E93" w14:textId="77777777" w:rsidR="005646D3" w:rsidRDefault="00F148AC">
      <w:pPr>
        <w:pStyle w:val="Heading2"/>
      </w:pPr>
      <w:r>
        <w:t>Provide multiple safe entry points into support</w:t>
      </w:r>
    </w:p>
    <w:p w14:paraId="2FC66140" w14:textId="77777777" w:rsidR="005646D3" w:rsidRDefault="00F148AC">
      <w:pPr>
        <w:pStyle w:val="BodyText"/>
        <w:spacing w:after="100"/>
      </w:pPr>
      <w:r>
        <w:t>Many victim-survivors do not initially seek help from a specialist family violence service. They may not identify their experiences as abuse, may fear the consequences of disclosure, may be uncertain whether their experiences are “serious enough”, or may be seeking help for an apparently different issue. Family relationship, counselling and family law services can provide accessible and less stigmatising entry points, including for people who have not previously engaged with formal services.</w:t>
      </w:r>
    </w:p>
    <w:p w14:paraId="688D918A" w14:textId="77777777" w:rsidR="005646D3" w:rsidRDefault="00F148AC">
      <w:pPr>
        <w:pStyle w:val="BodyText"/>
        <w:spacing w:after="100"/>
      </w:pPr>
      <w:r w:rsidRPr="00D40577">
        <w:t>RM’s internal data illustrates the scale of the opportunity. Family violence is identified in approximately four in five families presenting for family dispute resolution and is relevant to around 60 per cent of counselling clients. This</w:t>
      </w:r>
      <w:r>
        <w:t xml:space="preserve"> prevalence requires more than basic awareness or referral literacy. It requires funded capability to identify patterns of coercive control, assess risk, respond without collusion, support victim-survivors and children, and connect people with specialist and legal assistance.</w:t>
      </w:r>
    </w:p>
    <w:p w14:paraId="1A154B4E" w14:textId="77777777" w:rsidR="005646D3" w:rsidRDefault="00F148AC">
      <w:pPr>
        <w:pStyle w:val="BodyText"/>
        <w:spacing w:after="100"/>
      </w:pPr>
      <w:r>
        <w:t>A “no wrong door” approach should not mean that all services attempt to do everything. It should mean that relevant services have the capability, specialist partnerships and resourcing to respond safely, and that people are supported into the right service rather than repeatedly redirected or required to retell traumatic experiences.</w:t>
      </w:r>
    </w:p>
    <w:p w14:paraId="3DF69F97" w14:textId="77777777" w:rsidR="005646D3" w:rsidRDefault="00F148AC">
      <w:pPr>
        <w:pStyle w:val="Heading2"/>
      </w:pPr>
      <w:r>
        <w:t>Family-violence-informed Legally Assisted Family Dispute Resolution</w:t>
      </w:r>
    </w:p>
    <w:p w14:paraId="39553CCC" w14:textId="77777777" w:rsidR="005646D3" w:rsidRDefault="00F148AC">
      <w:pPr>
        <w:pStyle w:val="BodyText"/>
        <w:spacing w:after="100"/>
      </w:pPr>
      <w:r>
        <w:t>Family dispute resolution may be unsafe or inappropriate where family violence creates fear, coercive control, serious power imbalance or an inability to negotiate freely. At the same time, some separating families affected by violence need a pathway between standard family dispute resolution and prolonged adversarial litigation. For carefully assessed and suitable matters, family-violence-informed Legally Assisted Family Dispute Resolution (LAFDR) can help bridge this gap.</w:t>
      </w:r>
    </w:p>
    <w:p w14:paraId="160A28E4" w14:textId="77777777" w:rsidR="005646D3" w:rsidRDefault="00F148AC">
      <w:pPr>
        <w:pStyle w:val="BodyText"/>
        <w:spacing w:after="100"/>
      </w:pPr>
      <w:r>
        <w:t>The Australian Institute of Family Studies evaluation of Coordinated Family Dispute Resolution found value in an intensive, multidisciplinary model that centralised risk management, provided each party with legal advice and family violence support, and sought to address power imbalances through careful preparation and case coordination. The Support for Separating Families review also found significant benefits in legally assisted FDR and recommended formal relationships with legal assistance providers.</w:t>
      </w:r>
    </w:p>
    <w:p w14:paraId="1ECF70F2" w14:textId="77777777" w:rsidR="005646D3" w:rsidRDefault="00F148AC">
      <w:pPr>
        <w:pStyle w:val="BodyText"/>
        <w:spacing w:after="100"/>
      </w:pPr>
      <w:r>
        <w:t>RM commenced an LAFDR pilot in March 2025 in partnership with Women’s Legal Service Victoria, inTouch Multicultural Centre Against Family Violence and Deakin Law Clinic. The model integrates family violence-informed mediation with legal support and specialist collaboration. Its key characteristics are:</w:t>
      </w:r>
    </w:p>
    <w:p w14:paraId="172CBDA5" w14:textId="77777777" w:rsidR="005646D3" w:rsidRDefault="00F148AC">
      <w:pPr>
        <w:pStyle w:val="ListBullet"/>
        <w:keepLines/>
        <w:spacing w:after="50"/>
        <w:ind w:left="312" w:hanging="170"/>
      </w:pPr>
      <w:r>
        <w:t>rigorous initial screening and dynamic risk assessment throughout the process;</w:t>
      </w:r>
    </w:p>
    <w:p w14:paraId="2A743298" w14:textId="77777777" w:rsidR="005646D3" w:rsidRDefault="00F148AC">
      <w:pPr>
        <w:pStyle w:val="ListBullet"/>
        <w:keepLines/>
        <w:spacing w:after="50"/>
        <w:ind w:left="312" w:hanging="170"/>
      </w:pPr>
      <w:r>
        <w:t>separate legal advice and support so participants understand their rights, options and the implications of proposed agreements;</w:t>
      </w:r>
    </w:p>
    <w:p w14:paraId="46C5A7EB" w14:textId="77777777" w:rsidR="005646D3" w:rsidRDefault="00F148AC">
      <w:pPr>
        <w:pStyle w:val="ListBullet"/>
        <w:keepLines/>
        <w:spacing w:after="50"/>
        <w:ind w:left="312" w:hanging="170"/>
      </w:pPr>
      <w:r>
        <w:t>family violence-informed safety planning and flexible participation arrangements;</w:t>
      </w:r>
    </w:p>
    <w:p w14:paraId="27C7ACC7" w14:textId="77777777" w:rsidR="005646D3" w:rsidRDefault="00F148AC">
      <w:pPr>
        <w:pStyle w:val="ListBullet"/>
        <w:keepLines/>
        <w:spacing w:after="50"/>
        <w:ind w:left="312" w:hanging="170"/>
      </w:pPr>
      <w:r>
        <w:t>collaboration between mediators, lawyers and specialist family violence and multicultural services;</w:t>
      </w:r>
    </w:p>
    <w:p w14:paraId="323C0FEE" w14:textId="77777777" w:rsidR="005646D3" w:rsidRDefault="00F148AC">
      <w:pPr>
        <w:pStyle w:val="ListBullet"/>
        <w:keepLines/>
        <w:spacing w:after="50"/>
        <w:ind w:left="312" w:hanging="170"/>
      </w:pPr>
      <w:r>
        <w:t>culturally responsive practice, including access to interpreters where required;</w:t>
      </w:r>
    </w:p>
    <w:p w14:paraId="453BFBCC" w14:textId="77777777" w:rsidR="005646D3" w:rsidRDefault="00F148AC">
      <w:pPr>
        <w:pStyle w:val="ListBullet"/>
        <w:keepLines/>
        <w:spacing w:after="50"/>
        <w:ind w:left="312" w:hanging="170"/>
      </w:pPr>
      <w:r>
        <w:t>a child-focused approach that considers children as victim-survivors in their own right;</w:t>
      </w:r>
    </w:p>
    <w:p w14:paraId="29378EE3" w14:textId="77777777" w:rsidR="005646D3" w:rsidRDefault="00F148AC">
      <w:pPr>
        <w:pStyle w:val="ListBullet"/>
        <w:keepLines/>
        <w:spacing w:after="50"/>
        <w:ind w:left="312" w:hanging="170"/>
      </w:pPr>
      <w:r>
        <w:t>clear authority to pause or end the process where safety or free participation cannot be maintained; and</w:t>
      </w:r>
    </w:p>
    <w:p w14:paraId="537162C5" w14:textId="77777777" w:rsidR="005646D3" w:rsidRDefault="00F148AC">
      <w:pPr>
        <w:pStyle w:val="ListBullet"/>
        <w:keepLines/>
        <w:spacing w:after="50"/>
        <w:ind w:left="312" w:hanging="170"/>
      </w:pPr>
      <w:r>
        <w:t>warm referral to ongoing family violence, legal, counselling and practical supports.</w:t>
      </w:r>
    </w:p>
    <w:p w14:paraId="3FE70445" w14:textId="77777777" w:rsidR="005646D3" w:rsidRDefault="00F148AC">
      <w:pPr>
        <w:pStyle w:val="BodyText"/>
        <w:spacing w:after="100"/>
      </w:pPr>
      <w:r>
        <w:t xml:space="preserve">Early internal monitoring of the pilot indicates a high level of family violence and legal complexity among participating families. The early data are promising but involve small numbers and are not an independent evaluation. The </w:t>
      </w:r>
      <w:r>
        <w:lastRenderedPageBreak/>
        <w:t>appropriate next step is funded, independent evaluation and development of national design principles—not an assumption that LAFDR is suitable in every family violence matter.</w:t>
      </w:r>
    </w:p>
    <w:p w14:paraId="1C9BA9B4" w14:textId="77777777" w:rsidR="005646D3" w:rsidRDefault="00F148AC">
      <w:pPr>
        <w:pStyle w:val="Heading2"/>
      </w:pPr>
      <w:r>
        <w:t>Recommendations for victim-survivors</w:t>
      </w:r>
    </w:p>
    <w:p w14:paraId="1ACA21AE" w14:textId="77777777" w:rsidR="005646D3" w:rsidRDefault="00F148AC">
      <w:pPr>
        <w:pStyle w:val="ListBullet"/>
        <w:keepLines/>
        <w:spacing w:after="50"/>
        <w:ind w:left="312" w:hanging="170"/>
      </w:pPr>
      <w:r>
        <w:t>Fund family violence identification, risk assessment, safety planning and warm referral within family relationship and family law services.</w:t>
      </w:r>
    </w:p>
    <w:p w14:paraId="577AC808" w14:textId="77777777" w:rsidR="005646D3" w:rsidRDefault="00F148AC">
      <w:pPr>
        <w:pStyle w:val="ListBullet"/>
        <w:keepLines/>
        <w:spacing w:after="50"/>
        <w:ind w:left="312" w:hanging="170"/>
      </w:pPr>
      <w:r>
        <w:t>Fund specialist secondary consultation and formal partnerships, rather than relying on goodwill or unfunded referral arrangements.</w:t>
      </w:r>
    </w:p>
    <w:p w14:paraId="1C58C11C" w14:textId="77777777" w:rsidR="005646D3" w:rsidRDefault="00F148AC">
      <w:pPr>
        <w:pStyle w:val="ListBullet"/>
        <w:keepLines/>
        <w:spacing w:after="50"/>
        <w:ind w:left="312" w:hanging="170"/>
      </w:pPr>
      <w:r>
        <w:t>Support independent evaluation and carefully governed scaling of family-violence-informed LAFDR in suitable matters.</w:t>
      </w:r>
    </w:p>
    <w:p w14:paraId="13F51FB9" w14:textId="77777777" w:rsidR="005646D3" w:rsidRDefault="00F148AC">
      <w:pPr>
        <w:pStyle w:val="ListBullet"/>
        <w:keepLines/>
        <w:spacing w:after="50"/>
        <w:ind w:left="312" w:hanging="170"/>
      </w:pPr>
      <w:r>
        <w:t>Ensure that legal, counselling, family violence and practical supports remain available beyond the dispute resolution process.</w:t>
      </w:r>
    </w:p>
    <w:p w14:paraId="3DCEB9CC" w14:textId="77777777" w:rsidR="005646D3" w:rsidRDefault="00F148AC">
      <w:pPr>
        <w:pStyle w:val="ListBullet"/>
        <w:keepLines/>
        <w:spacing w:after="50"/>
        <w:ind w:left="312" w:hanging="170"/>
      </w:pPr>
      <w:r>
        <w:t>Design outcomes around safety, voice, informed participation and children’s wellbeing—not simply agreement rates or court diversion.</w:t>
      </w:r>
    </w:p>
    <w:p w14:paraId="3EBAACCA" w14:textId="77777777" w:rsidR="005646D3" w:rsidRDefault="00F148AC">
      <w:pPr>
        <w:pStyle w:val="Heading1"/>
      </w:pPr>
      <w:r>
        <w:t>Priority Area 2: Prevention and early intervention</w:t>
      </w:r>
    </w:p>
    <w:p w14:paraId="1A838785" w14:textId="77777777" w:rsidR="005646D3" w:rsidRDefault="00F148AC">
      <w:pPr>
        <w:pStyle w:val="Heading2"/>
      </w:pPr>
      <w:r>
        <w:t xml:space="preserve">Use existing service </w:t>
      </w:r>
      <w:r w:rsidRPr="00327848">
        <w:t xml:space="preserve">contacts </w:t>
      </w:r>
      <w:r>
        <w:t>before violence escalates</w:t>
      </w:r>
    </w:p>
    <w:p w14:paraId="42F2AD64" w14:textId="77777777" w:rsidR="005646D3" w:rsidRDefault="00F148AC">
      <w:pPr>
        <w:pStyle w:val="BodyText"/>
        <w:spacing w:after="100"/>
      </w:pPr>
      <w:r>
        <w:t>The consultation paper correctly identifies that most people using violence do not seek formal behaviour-change support and that early-intervention opportunities are often missed. Family relationship services routinely see people before police, courts or specialist services become involved. They may present voluntarily because a relationship is deteriorating, parenting conflict is increasing, or a partner has raised concerns about controlling, intimidating or harmful behaviour.</w:t>
      </w:r>
    </w:p>
    <w:p w14:paraId="4C011D9C" w14:textId="77777777" w:rsidR="00D40577" w:rsidRDefault="00F148AC" w:rsidP="00D40577">
      <w:pPr>
        <w:pStyle w:val="BodyText"/>
        <w:spacing w:after="100"/>
        <w:rPr>
          <w:b/>
          <w:bCs/>
          <w:color w:val="auto"/>
          <w:szCs w:val="19"/>
          <w:lang w:val="en-AU"/>
        </w:rPr>
      </w:pPr>
      <w:r>
        <w:t>The family and relationship services sector can therefore help translate the National Plan’s commitment to early intervention into practice. This requires more than screening. Services need clear practice models for safe engagement, accountability-oriented conversations, assessment, brief intervention, active referral and follow-up. They also need reliable access to specialist advice and escalation pathways where risk is higher than initially apparent.</w:t>
      </w:r>
      <w:r w:rsidR="00D40577" w:rsidRPr="00D40577">
        <w:rPr>
          <w:b/>
          <w:bCs/>
          <w:color w:val="auto"/>
          <w:szCs w:val="19"/>
          <w:lang w:val="en-AU"/>
        </w:rPr>
        <w:t xml:space="preserve"> </w:t>
      </w:r>
    </w:p>
    <w:p w14:paraId="5F9CD602" w14:textId="6EDB960D" w:rsidR="00D40577" w:rsidRPr="00D40577" w:rsidRDefault="00D40577" w:rsidP="00D40577">
      <w:pPr>
        <w:pStyle w:val="BodyText"/>
        <w:spacing w:after="100"/>
        <w:rPr>
          <w:lang w:val="en-AU"/>
        </w:rPr>
      </w:pPr>
      <w:r w:rsidRPr="00D40577">
        <w:rPr>
          <w:lang w:val="en-AU"/>
        </w:rPr>
        <w:t>The DSS reform creates an important opportunity because it will bring together five existing Commonwealth-funded families and children’s programs, including Family and Relationship Services and the Specialised Family Violence Services program, within the new Children and Families Support program. However, the Commonwealth-funded Specialised Family Violence Services program represents only one part of the broader family violence service system, with most specialist family violence responses funded and administered by state and territory governments.</w:t>
      </w:r>
    </w:p>
    <w:p w14:paraId="2D4BFDAF" w14:textId="77777777" w:rsidR="00D40577" w:rsidRPr="00327848" w:rsidRDefault="00D40577" w:rsidP="00D40577">
      <w:pPr>
        <w:pStyle w:val="BodyText"/>
        <w:spacing w:after="100"/>
        <w:rPr>
          <w:color w:val="5F497A" w:themeColor="accent4" w:themeShade="BF"/>
          <w:lang w:val="en-AU"/>
        </w:rPr>
      </w:pPr>
      <w:r w:rsidRPr="00D40577">
        <w:rPr>
          <w:lang w:val="en-AU"/>
        </w:rPr>
        <w:t>The reform should therefore strengthen family violence capability across the new program while establishing clear interfaces with state and territory specialist family violence systems. It should support consistent identification, risk assessment, referral, information sharing and coordinated responses across counselling, family support, parenting and other family relationship services, without suggesting that these services replace specialist family violence responses. The opportunity is to ensure that people who first disclose or are identified through mainstream family and relationship services receive an informed and proportionate response and can move safely between Commonwealth-funded family services and specialist state-based services where required.</w:t>
      </w:r>
      <w:r>
        <w:rPr>
          <w:lang w:val="en-AU"/>
        </w:rPr>
        <w:br/>
      </w:r>
      <w:r>
        <w:rPr>
          <w:lang w:val="en-AU"/>
        </w:rPr>
        <w:br/>
      </w:r>
      <w:r w:rsidRPr="00327848">
        <w:rPr>
          <w:rStyle w:val="Heading2Char"/>
          <w:lang w:val="en-AU"/>
        </w:rPr>
        <w:t>Workplaces as an underused early-intervention setting</w:t>
      </w:r>
    </w:p>
    <w:p w14:paraId="574FFB23" w14:textId="77777777" w:rsidR="00D40577" w:rsidRPr="00D40577" w:rsidRDefault="00D40577" w:rsidP="00D40577">
      <w:pPr>
        <w:pStyle w:val="BodyText"/>
        <w:spacing w:after="100"/>
        <w:rPr>
          <w:lang w:val="en-AU"/>
        </w:rPr>
      </w:pPr>
      <w:r w:rsidRPr="00D40577">
        <w:rPr>
          <w:lang w:val="en-AU"/>
        </w:rPr>
        <w:t>Workplaces are places where family violence is experienced, disclosed and sometimes perpetrated through workplace time, systems, technology or contact. The impacts can include reduced attendance and concentration, disrupted employment, safety risks and lost career opportunities. Research led by Professor Kate Fitz-Gibbon highlights the importance of trauma-informed workplace cultures, practical supports and safe responses to disclosure.</w:t>
      </w:r>
    </w:p>
    <w:p w14:paraId="32626261" w14:textId="77777777" w:rsidR="00D40577" w:rsidRPr="00D40577" w:rsidRDefault="00D40577" w:rsidP="00D40577">
      <w:pPr>
        <w:pStyle w:val="BodyText"/>
        <w:spacing w:after="100"/>
        <w:rPr>
          <w:lang w:val="en-AU"/>
        </w:rPr>
      </w:pPr>
      <w:r w:rsidRPr="00D40577">
        <w:rPr>
          <w:lang w:val="en-AU"/>
        </w:rPr>
        <w:t>For many employees, the workplace may be one of the first places where the effects of family violence become visible. It can therefore provide an important early-intervention pathway, particularly for people who may not approach a specialist family violence service.</w:t>
      </w:r>
    </w:p>
    <w:p w14:paraId="0364F5F7" w14:textId="77777777" w:rsidR="00D40577" w:rsidRPr="00D40577" w:rsidRDefault="00D40577" w:rsidP="00D40577">
      <w:pPr>
        <w:pStyle w:val="BodyText"/>
        <w:spacing w:after="100"/>
        <w:rPr>
          <w:lang w:val="en-AU"/>
        </w:rPr>
      </w:pPr>
      <w:r w:rsidRPr="00D40577">
        <w:rPr>
          <w:lang w:val="en-AU"/>
        </w:rPr>
        <w:t>RM’s Workplace Matters Safe &amp; Supported at Work initiative operates, in essence, as a specialist family violence EAP. It combines confidential family violence-informed counselling, safety planning, legal information and referral, and support to navigate specialist services. It also provides pathways for employees concerned about their own harmful or controlling behaviours.</w:t>
      </w:r>
    </w:p>
    <w:p w14:paraId="533CA639" w14:textId="77777777" w:rsidR="00D40577" w:rsidRPr="00D40577" w:rsidRDefault="00D40577" w:rsidP="00D40577">
      <w:pPr>
        <w:pStyle w:val="BodyText"/>
        <w:spacing w:after="100"/>
        <w:rPr>
          <w:lang w:val="en-AU"/>
        </w:rPr>
      </w:pPr>
      <w:r w:rsidRPr="00D40577">
        <w:rPr>
          <w:lang w:val="en-AU"/>
        </w:rPr>
        <w:t xml:space="preserve">The initiative supports employers through manager and HR consultation, policy and procedure advice, workforce capability building, workplace safety planning and guidance on responding to disclosures. This dual focus is critical: </w:t>
      </w:r>
      <w:r w:rsidRPr="00D40577">
        <w:rPr>
          <w:lang w:val="en-AU"/>
        </w:rPr>
        <w:lastRenderedPageBreak/>
        <w:t>policies and training are not enough without access to specialist support, and individual support is less effective where organisational responses are inconsistent or unsafe.</w:t>
      </w:r>
    </w:p>
    <w:p w14:paraId="58C1B9F6" w14:textId="77777777" w:rsidR="00D40577" w:rsidRPr="00D40577" w:rsidRDefault="00D40577" w:rsidP="00D40577">
      <w:pPr>
        <w:pStyle w:val="BodyText"/>
        <w:spacing w:after="100"/>
        <w:rPr>
          <w:lang w:val="en-AU"/>
        </w:rPr>
      </w:pPr>
      <w:r w:rsidRPr="00D40577">
        <w:rPr>
          <w:lang w:val="en-AU"/>
        </w:rPr>
        <w:t>Employers should not be expected to assess family violence risk or provide behaviour-change treatment. Their role is to recognise indicators, respond safely, manage workplace risks and connect employees with specialist services.</w:t>
      </w:r>
    </w:p>
    <w:p w14:paraId="1ECAEB29" w14:textId="1B0809BB" w:rsidR="00D40577" w:rsidRPr="00D40577" w:rsidRDefault="00D40577" w:rsidP="00D40577">
      <w:pPr>
        <w:pStyle w:val="BodyText"/>
        <w:spacing w:after="100"/>
        <w:rPr>
          <w:lang w:val="en-AU"/>
        </w:rPr>
      </w:pPr>
      <w:r w:rsidRPr="00D40577">
        <w:rPr>
          <w:lang w:val="en-AU"/>
        </w:rPr>
        <w:t>The Second Action Plan should support the development and evaluation of specialist workplace family violence EAP models, including for small and medium-sized employers. These models should complement, not replace, specialist family violence services and should include clear standards for confidentiality, safety, referral and quality.</w:t>
      </w:r>
    </w:p>
    <w:p w14:paraId="02C93DD1" w14:textId="77777777" w:rsidR="005646D3" w:rsidRDefault="00F148AC">
      <w:pPr>
        <w:pStyle w:val="Heading2"/>
      </w:pPr>
      <w:r>
        <w:t>Recommendations for prevention and early intervention</w:t>
      </w:r>
    </w:p>
    <w:p w14:paraId="7D552961" w14:textId="77777777" w:rsidR="005646D3" w:rsidRDefault="00F148AC">
      <w:pPr>
        <w:pStyle w:val="ListBullet"/>
        <w:keepLines/>
        <w:spacing w:after="50"/>
        <w:ind w:left="312" w:hanging="170"/>
      </w:pPr>
      <w:r>
        <w:t>Commission family relationship services to deliver defined early-intervention functions, supported by specialist partnerships and clear escalation protocols.</w:t>
      </w:r>
    </w:p>
    <w:p w14:paraId="47215FC2" w14:textId="77777777" w:rsidR="005646D3" w:rsidRDefault="00F148AC">
      <w:pPr>
        <w:pStyle w:val="ListBullet"/>
        <w:keepLines/>
        <w:spacing w:after="50"/>
        <w:ind w:left="312" w:hanging="170"/>
      </w:pPr>
      <w:r>
        <w:t>Use the DSS reform to create integrated pathways between counselling, parenting support, family law, specialised family violence services and interventions for people who use violence.</w:t>
      </w:r>
    </w:p>
    <w:p w14:paraId="66636712" w14:textId="77777777" w:rsidR="005646D3" w:rsidRDefault="00F148AC">
      <w:pPr>
        <w:pStyle w:val="ListBullet"/>
        <w:keepLines/>
        <w:spacing w:after="50"/>
        <w:ind w:left="312" w:hanging="170"/>
      </w:pPr>
      <w:r>
        <w:t>Fund demonstration sites that test earlier engagement through counselling, family separation, parenting and workplace settings.</w:t>
      </w:r>
    </w:p>
    <w:p w14:paraId="0E761654" w14:textId="77777777" w:rsidR="005646D3" w:rsidRDefault="00F148AC">
      <w:pPr>
        <w:pStyle w:val="ListBullet"/>
        <w:keepLines/>
        <w:spacing w:after="50"/>
        <w:ind w:left="312" w:hanging="170"/>
      </w:pPr>
      <w:r>
        <w:t>Develop national workplace guidance and specialist referral pathways for victim-survivors and employees using harmful behaviours, with specific support for small and medium employers.</w:t>
      </w:r>
    </w:p>
    <w:p w14:paraId="6343407F" w14:textId="77777777" w:rsidR="005646D3" w:rsidRDefault="00F148AC">
      <w:pPr>
        <w:pStyle w:val="ListBullet"/>
        <w:keepLines/>
        <w:spacing w:after="50"/>
        <w:ind w:left="312" w:hanging="170"/>
      </w:pPr>
      <w:r>
        <w:t>Require early-intervention models to include safety monitoring and evaluation so that “early” or “brief” is never equated with low seriousness or low accountability.</w:t>
      </w:r>
    </w:p>
    <w:p w14:paraId="260E39E1" w14:textId="77777777" w:rsidR="005646D3" w:rsidRDefault="00F148AC">
      <w:pPr>
        <w:pStyle w:val="Heading1"/>
      </w:pPr>
      <w:r>
        <w:t>Priority Area 3: Children and young people in their own right</w:t>
      </w:r>
    </w:p>
    <w:p w14:paraId="0ACF3C3E" w14:textId="77777777" w:rsidR="005646D3" w:rsidRDefault="00F148AC">
      <w:pPr>
        <w:pStyle w:val="BodyText"/>
        <w:spacing w:after="100"/>
      </w:pPr>
      <w:r>
        <w:t>RM supports the consultation paper’s recognition of children and young people as victim-survivors in their own right. Their safety and recovery needs cannot be treated only as an extension of an adult victim-survivor’s needs, nor should they be viewed primarily as future users of violence.</w:t>
      </w:r>
    </w:p>
    <w:p w14:paraId="4B46BF49" w14:textId="77777777" w:rsidR="005646D3" w:rsidRDefault="00F148AC">
      <w:pPr>
        <w:pStyle w:val="BodyText"/>
        <w:spacing w:after="100"/>
      </w:pPr>
      <w:r>
        <w:t>Safe &amp; Together training has strengthened RM’s capacity to focus on the behaviour patterns of the person using violence, recognise the protective efforts of the non-offending parent, and understand the impact of coercive control on children and parent-child relationships. This lens should be embedded across adult counselling, family law, MBCP and adjacent services.</w:t>
      </w:r>
    </w:p>
    <w:p w14:paraId="7425262A" w14:textId="77777777" w:rsidR="005646D3" w:rsidRDefault="00F148AC">
      <w:pPr>
        <w:pStyle w:val="BodyText"/>
        <w:spacing w:after="100"/>
      </w:pPr>
      <w:r>
        <w:t>The Support for Separating Families review recommends funded child-inclusive practice and dedicated specialist child practitioners. RM supports this direction, provided child-inclusive work is developmentally appropriate, family-violence-informed and undertaken only where safe. Child participation must not become a mechanism through which a person using violence gains information, pressures a child or undermines a protective parent.</w:t>
      </w:r>
    </w:p>
    <w:p w14:paraId="50360082" w14:textId="77777777" w:rsidR="005646D3" w:rsidRDefault="00F148AC">
      <w:pPr>
        <w:pStyle w:val="BodyText"/>
        <w:spacing w:after="100"/>
      </w:pPr>
      <w:r>
        <w:t>Young people using violence in the home or in intimate relationships require distinct, developmentally informed responses. Adult perpetrator frameworks and standard adult MBCPs should not simply be applied to adolescents. Responses must consider their own possible victimisation, trauma, development, family context and capacity for change while maintaining safety and accountability.</w:t>
      </w:r>
    </w:p>
    <w:p w14:paraId="42BE60C1" w14:textId="77777777" w:rsidR="005646D3" w:rsidRDefault="00F148AC">
      <w:pPr>
        <w:pStyle w:val="Heading2"/>
      </w:pPr>
      <w:r>
        <w:t>Recommendations for children and young people</w:t>
      </w:r>
    </w:p>
    <w:p w14:paraId="1C92AAAD" w14:textId="77777777" w:rsidR="005646D3" w:rsidRDefault="00F148AC">
      <w:pPr>
        <w:pStyle w:val="ListBullet"/>
        <w:keepLines/>
        <w:spacing w:after="50"/>
        <w:ind w:left="312" w:hanging="170"/>
      </w:pPr>
      <w:r>
        <w:t>Fund dedicated child practitioners and child-inclusive practice within family relationship and family law services where it is safe and appropriate.</w:t>
      </w:r>
    </w:p>
    <w:p w14:paraId="41AA6B2A" w14:textId="77777777" w:rsidR="005646D3" w:rsidRDefault="00F148AC">
      <w:pPr>
        <w:pStyle w:val="ListBullet"/>
        <w:keepLines/>
        <w:spacing w:after="50"/>
        <w:ind w:left="312" w:hanging="170"/>
      </w:pPr>
      <w:r>
        <w:t>Embed child-focused and Safe &amp; Together-informed practice across adult family violence, family law, counselling and behaviour-change services.</w:t>
      </w:r>
    </w:p>
    <w:p w14:paraId="41DE0C90" w14:textId="77777777" w:rsidR="005646D3" w:rsidRDefault="00F148AC">
      <w:pPr>
        <w:pStyle w:val="ListBullet"/>
        <w:keepLines/>
        <w:spacing w:after="50"/>
        <w:ind w:left="312" w:hanging="170"/>
      </w:pPr>
      <w:r>
        <w:t>Develop national practice standards with children and young people, including clear safeguards for participation in family law and dispute resolution processes.</w:t>
      </w:r>
    </w:p>
    <w:p w14:paraId="7E94D623" w14:textId="77777777" w:rsidR="005646D3" w:rsidRDefault="00F148AC">
      <w:pPr>
        <w:pStyle w:val="ListBullet"/>
        <w:keepLines/>
        <w:spacing w:after="50"/>
        <w:ind w:left="312" w:hanging="170"/>
      </w:pPr>
      <w:r>
        <w:t>Commission distinct, developmentally appropriate interventions for adolescents and young people using violence, including family-based and therapeutic models.</w:t>
      </w:r>
    </w:p>
    <w:p w14:paraId="2EE7F726" w14:textId="77777777" w:rsidR="005646D3" w:rsidRDefault="00F148AC">
      <w:pPr>
        <w:pStyle w:val="ListBullet"/>
        <w:keepLines/>
        <w:spacing w:after="50"/>
        <w:ind w:left="312" w:hanging="170"/>
      </w:pPr>
      <w:r>
        <w:t>Measure children’s safety, recovery, relationships and wellbeing as outcomes in their own right.</w:t>
      </w:r>
    </w:p>
    <w:p w14:paraId="14013F27" w14:textId="77777777" w:rsidR="005646D3" w:rsidRDefault="00F148AC">
      <w:pPr>
        <w:pStyle w:val="Heading1"/>
      </w:pPr>
      <w:r>
        <w:t>Priority Area 4: People who use violence</w:t>
      </w:r>
    </w:p>
    <w:p w14:paraId="0EE0868D" w14:textId="77777777" w:rsidR="005646D3" w:rsidRDefault="00F148AC">
      <w:pPr>
        <w:pStyle w:val="Heading2"/>
      </w:pPr>
      <w:r>
        <w:t>Build a broader, risk-responsive intervention continuum</w:t>
      </w:r>
    </w:p>
    <w:p w14:paraId="5696785B" w14:textId="77777777" w:rsidR="005646D3" w:rsidRDefault="00F148AC">
      <w:pPr>
        <w:pStyle w:val="BodyText"/>
        <w:spacing w:after="100"/>
      </w:pPr>
      <w:r>
        <w:t xml:space="preserve">MBCPs are a critical part of the perpetrator intervention system, but the evidence is clear that they cannot carry the full responsibility for accountability and behaviour change. ANROWS and No to Violence emphasise that most people using violence never reach an MBCP and that programs must be embedded within a broader system spanning justice, housing, health, social services and community settings. FRSA’s mapping demonstrates that the family and </w:t>
      </w:r>
      <w:r>
        <w:lastRenderedPageBreak/>
        <w:t>relationship services sector already delivers a much wider range of group, individual, case management and family support responses.</w:t>
      </w:r>
    </w:p>
    <w:p w14:paraId="6594308B" w14:textId="77777777" w:rsidR="005646D3" w:rsidRDefault="00F148AC">
      <w:pPr>
        <w:pStyle w:val="BodyText"/>
        <w:spacing w:after="100"/>
      </w:pPr>
      <w:r>
        <w:t>The Second Action Plan should fund a continuum in which the type and intensity of intervention can change as risk, engagement and circumstances change. Risk is dynamic and can be underestimated, particularly where assessment focuses on isolated incidents rather than patterns of coercive control. “Lower assessed risk” should therefore never become a basis for minimising harm or removing victim-survivor safety safeguards.</w:t>
      </w:r>
    </w:p>
    <w:tbl>
      <w:tblPr>
        <w:tblW w:w="0" w:type="auto"/>
        <w:jc w:val="center"/>
        <w:tblLayout w:type="fixed"/>
        <w:tblLook w:val="04A0" w:firstRow="1" w:lastRow="0" w:firstColumn="1" w:lastColumn="0" w:noHBand="0" w:noVBand="1"/>
      </w:tblPr>
      <w:tblGrid>
        <w:gridCol w:w="3269"/>
        <w:gridCol w:w="3345"/>
        <w:gridCol w:w="4394"/>
      </w:tblGrid>
      <w:tr w:rsidR="005646D3" w14:paraId="5038633E" w14:textId="77777777">
        <w:trPr>
          <w:tblHeader/>
          <w:jc w:val="center"/>
        </w:trPr>
        <w:tc>
          <w:tcPr>
            <w:tcW w:w="3269" w:type="dxa"/>
            <w:tcBorders>
              <w:top w:val="single" w:sz="6" w:space="0" w:color="123E52"/>
              <w:left w:val="single" w:sz="6" w:space="0" w:color="123E52"/>
              <w:bottom w:val="single" w:sz="6" w:space="0" w:color="123E52"/>
              <w:right w:val="single" w:sz="6" w:space="0" w:color="123E52"/>
            </w:tcBorders>
            <w:shd w:val="clear" w:color="auto" w:fill="123E52"/>
            <w:tcMar>
              <w:top w:w="110" w:type="dxa"/>
              <w:left w:w="130" w:type="dxa"/>
              <w:bottom w:w="110" w:type="dxa"/>
              <w:right w:w="130" w:type="dxa"/>
            </w:tcMar>
          </w:tcPr>
          <w:p w14:paraId="01173D82" w14:textId="77777777" w:rsidR="005646D3" w:rsidRDefault="00F148AC">
            <w:pPr>
              <w:spacing w:line="240" w:lineRule="auto"/>
            </w:pPr>
            <w:r>
              <w:rPr>
                <w:b/>
                <w:color w:val="FFFFFF"/>
                <w:sz w:val="17"/>
              </w:rPr>
              <w:t>Intervention level</w:t>
            </w:r>
          </w:p>
        </w:tc>
        <w:tc>
          <w:tcPr>
            <w:tcW w:w="3269" w:type="dxa"/>
            <w:tcBorders>
              <w:top w:val="single" w:sz="6" w:space="0" w:color="123E52"/>
              <w:left w:val="single" w:sz="6" w:space="0" w:color="123E52"/>
              <w:bottom w:val="single" w:sz="6" w:space="0" w:color="123E52"/>
              <w:right w:val="single" w:sz="6" w:space="0" w:color="123E52"/>
            </w:tcBorders>
            <w:shd w:val="clear" w:color="auto" w:fill="123E52"/>
            <w:tcMar>
              <w:top w:w="110" w:type="dxa"/>
              <w:left w:w="130" w:type="dxa"/>
              <w:bottom w:w="110" w:type="dxa"/>
              <w:right w:w="130" w:type="dxa"/>
            </w:tcMar>
          </w:tcPr>
          <w:p w14:paraId="739F651D" w14:textId="77777777" w:rsidR="005646D3" w:rsidRDefault="00F148AC">
            <w:pPr>
              <w:spacing w:line="240" w:lineRule="auto"/>
            </w:pPr>
            <w:r>
              <w:rPr>
                <w:b/>
                <w:color w:val="FFFFFF"/>
                <w:sz w:val="17"/>
              </w:rPr>
              <w:t>Indicative presentation</w:t>
            </w:r>
          </w:p>
        </w:tc>
        <w:tc>
          <w:tcPr>
            <w:tcW w:w="3269" w:type="dxa"/>
            <w:tcBorders>
              <w:top w:val="single" w:sz="6" w:space="0" w:color="123E52"/>
              <w:left w:val="single" w:sz="6" w:space="0" w:color="123E52"/>
              <w:bottom w:val="single" w:sz="6" w:space="0" w:color="123E52"/>
              <w:right w:val="single" w:sz="6" w:space="0" w:color="123E52"/>
            </w:tcBorders>
            <w:shd w:val="clear" w:color="auto" w:fill="123E52"/>
            <w:tcMar>
              <w:top w:w="110" w:type="dxa"/>
              <w:left w:w="130" w:type="dxa"/>
              <w:bottom w:w="110" w:type="dxa"/>
              <w:right w:w="130" w:type="dxa"/>
            </w:tcMar>
          </w:tcPr>
          <w:p w14:paraId="44F6EEEA" w14:textId="77777777" w:rsidR="005646D3" w:rsidRDefault="00F148AC">
            <w:pPr>
              <w:spacing w:line="240" w:lineRule="auto"/>
            </w:pPr>
            <w:r>
              <w:rPr>
                <w:b/>
                <w:color w:val="FFFFFF"/>
                <w:sz w:val="17"/>
              </w:rPr>
              <w:t>Indicative response</w:t>
            </w:r>
          </w:p>
        </w:tc>
      </w:tr>
      <w:tr w:rsidR="005646D3" w14:paraId="010D9AAC" w14:textId="77777777">
        <w:trPr>
          <w:cantSplit/>
          <w:jc w:val="center"/>
        </w:trPr>
        <w:tc>
          <w:tcPr>
            <w:tcW w:w="1899"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1E44325E" w14:textId="77777777" w:rsidR="005646D3" w:rsidRDefault="00F148AC">
            <w:pPr>
              <w:spacing w:after="0" w:line="240" w:lineRule="auto"/>
            </w:pPr>
            <w:r>
              <w:rPr>
                <w:b/>
                <w:color w:val="123E52"/>
                <w:sz w:val="17"/>
              </w:rPr>
              <w:t>Early concern / lower assessed risk</w:t>
            </w:r>
          </w:p>
        </w:tc>
        <w:tc>
          <w:tcPr>
            <w:tcW w:w="3345"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394D08C1" w14:textId="77777777" w:rsidR="005646D3" w:rsidRDefault="00F148AC">
            <w:pPr>
              <w:spacing w:after="0" w:line="240" w:lineRule="auto"/>
            </w:pPr>
            <w:r>
              <w:rPr>
                <w:sz w:val="17"/>
              </w:rPr>
              <w:t>People showing emerging harmful attitudes or behaviours, or presenting voluntarily before a pattern is fully established.</w:t>
            </w:r>
          </w:p>
        </w:tc>
        <w:tc>
          <w:tcPr>
            <w:tcW w:w="4394"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5B55AE53" w14:textId="77777777" w:rsidR="005646D3" w:rsidRDefault="00F148AC">
            <w:pPr>
              <w:spacing w:after="0" w:line="240" w:lineRule="auto"/>
            </w:pPr>
            <w:r>
              <w:rPr>
                <w:sz w:val="17"/>
              </w:rPr>
              <w:t>Specialist-informed brief or motivational intervention; psychoeducation; relationship or parenting-focused work; safety-informed referral; active follow-up and reassessment.</w:t>
            </w:r>
          </w:p>
        </w:tc>
      </w:tr>
      <w:tr w:rsidR="005646D3" w14:paraId="72FDA3AF" w14:textId="77777777">
        <w:trPr>
          <w:cantSplit/>
          <w:jc w:val="center"/>
        </w:trPr>
        <w:tc>
          <w:tcPr>
            <w:tcW w:w="1899"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01F356E9" w14:textId="77777777" w:rsidR="005646D3" w:rsidRDefault="00F148AC">
            <w:pPr>
              <w:spacing w:after="0" w:line="240" w:lineRule="auto"/>
            </w:pPr>
            <w:r>
              <w:rPr>
                <w:b/>
                <w:color w:val="123E52"/>
                <w:sz w:val="17"/>
              </w:rPr>
              <w:t>Moderate or established risk</w:t>
            </w:r>
          </w:p>
        </w:tc>
        <w:tc>
          <w:tcPr>
            <w:tcW w:w="3345"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6F59D261" w14:textId="77777777" w:rsidR="005646D3" w:rsidRDefault="00F148AC">
            <w:pPr>
              <w:spacing w:after="0" w:line="240" w:lineRule="auto"/>
            </w:pPr>
            <w:r>
              <w:rPr>
                <w:sz w:val="17"/>
              </w:rPr>
              <w:t>People using patterned abuse who require structured intervention, accountability and monitoring.</w:t>
            </w:r>
          </w:p>
        </w:tc>
        <w:tc>
          <w:tcPr>
            <w:tcW w:w="4394"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63E8BF3E" w14:textId="77777777" w:rsidR="005646D3" w:rsidRDefault="00F148AC">
            <w:pPr>
              <w:spacing w:after="0" w:line="240" w:lineRule="auto"/>
            </w:pPr>
            <w:r>
              <w:rPr>
                <w:sz w:val="17"/>
              </w:rPr>
              <w:t>Structured group or individual behaviour-change program; partner/family safety contact; case management; individual sessions; coordinated referrals and review.</w:t>
            </w:r>
          </w:p>
        </w:tc>
      </w:tr>
      <w:tr w:rsidR="005646D3" w14:paraId="1E643E42" w14:textId="77777777">
        <w:trPr>
          <w:cantSplit/>
          <w:jc w:val="center"/>
        </w:trPr>
        <w:tc>
          <w:tcPr>
            <w:tcW w:w="1899"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077D5B93" w14:textId="77777777" w:rsidR="005646D3" w:rsidRDefault="00F148AC">
            <w:pPr>
              <w:spacing w:after="0" w:line="240" w:lineRule="auto"/>
            </w:pPr>
            <w:r>
              <w:rPr>
                <w:b/>
                <w:color w:val="123E52"/>
                <w:sz w:val="17"/>
              </w:rPr>
              <w:t>High or complex risk</w:t>
            </w:r>
          </w:p>
        </w:tc>
        <w:tc>
          <w:tcPr>
            <w:tcW w:w="3345"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6F2ED890" w14:textId="77777777" w:rsidR="005646D3" w:rsidRDefault="00F148AC">
            <w:pPr>
              <w:spacing w:after="0" w:line="240" w:lineRule="auto"/>
            </w:pPr>
            <w:r>
              <w:rPr>
                <w:sz w:val="17"/>
              </w:rPr>
              <w:t>People using serious, persistent or escalating violence, including complex co-occurring needs or justice involvement.</w:t>
            </w:r>
          </w:p>
        </w:tc>
        <w:tc>
          <w:tcPr>
            <w:tcW w:w="4394"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7336F50F" w14:textId="77777777" w:rsidR="005646D3" w:rsidRDefault="00F148AC">
            <w:pPr>
              <w:spacing w:after="0" w:line="240" w:lineRule="auto"/>
            </w:pPr>
            <w:r>
              <w:rPr>
                <w:sz w:val="17"/>
              </w:rPr>
              <w:t>Intensive specialist intervention or MBCP; multi-agency risk management; justice and child/family system coordination; specialist case management and sustained follow-up.</w:t>
            </w:r>
          </w:p>
        </w:tc>
      </w:tr>
    </w:tbl>
    <w:p w14:paraId="06B51C8F" w14:textId="77777777" w:rsidR="005646D3" w:rsidRDefault="005646D3">
      <w:pPr>
        <w:spacing w:after="0"/>
      </w:pPr>
    </w:p>
    <w:p w14:paraId="6D153E5D" w14:textId="77777777" w:rsidR="005646D3" w:rsidRDefault="00F148AC">
      <w:pPr>
        <w:spacing w:before="40" w:after="100"/>
      </w:pPr>
      <w:r>
        <w:rPr>
          <w:i/>
          <w:color w:val="5B6C74"/>
          <w:sz w:val="17"/>
        </w:rPr>
        <w:t>This continuum is illustrative. Placement must be based on comprehensive and ongoing assessment, including coercive control, victim-survivor and child safety, and changing circumstances. Brief intervention must complement—not replace—MBCPs or high-risk responses.</w:t>
      </w:r>
    </w:p>
    <w:p w14:paraId="63065A43" w14:textId="77777777" w:rsidR="005646D3" w:rsidRDefault="00F148AC">
      <w:pPr>
        <w:pStyle w:val="Heading2"/>
      </w:pPr>
      <w:r>
        <w:t>Strengthen MBCPs through pre-group, individual and post-group work</w:t>
      </w:r>
    </w:p>
    <w:p w14:paraId="05C1AC83" w14:textId="77777777" w:rsidR="005646D3" w:rsidRDefault="00F148AC">
      <w:pPr>
        <w:pStyle w:val="BodyText"/>
        <w:spacing w:after="100"/>
      </w:pPr>
      <w:r>
        <w:t>Fitz-Gibbon and colleagues’ Engaging in Change study shows that attendance, engagement and completion are distinct, and that readiness, housing, referral pathways, support systems and practical instability affect participation. The study recommends stronger readiness work, individualised support, post-program engagement and funding models that maintain visibility of risk when participants disengage. These findings align with FRSA’s mapping, which documents the use of pre-group therapeutic sessions, one-to-one case management, counselling and check-ins across member services.</w:t>
      </w:r>
    </w:p>
    <w:p w14:paraId="7203CDD7" w14:textId="77777777" w:rsidR="005646D3" w:rsidRDefault="00F148AC">
      <w:pPr>
        <w:pStyle w:val="BodyText"/>
        <w:spacing w:after="100"/>
      </w:pPr>
      <w:r>
        <w:t>MBCP funding should therefore support a complete intervention pathway rather than only group hours. Core components should include:</w:t>
      </w:r>
    </w:p>
    <w:p w14:paraId="16FCB069" w14:textId="77777777" w:rsidR="005646D3" w:rsidRDefault="00F148AC">
      <w:pPr>
        <w:pStyle w:val="ListBullet"/>
        <w:keepLines/>
        <w:spacing w:after="50"/>
        <w:ind w:left="312" w:hanging="170"/>
      </w:pPr>
      <w:r>
        <w:t>comprehensive assessment and readiness work before group entry;</w:t>
      </w:r>
    </w:p>
    <w:p w14:paraId="770876FF" w14:textId="77777777" w:rsidR="005646D3" w:rsidRDefault="00F148AC">
      <w:pPr>
        <w:pStyle w:val="ListBullet"/>
        <w:keepLines/>
        <w:spacing w:after="50"/>
        <w:ind w:left="312" w:hanging="170"/>
      </w:pPr>
      <w:r>
        <w:t>individual sessions to build motivation, address barriers and reinforce group learning;</w:t>
      </w:r>
    </w:p>
    <w:p w14:paraId="1ACA0016" w14:textId="77777777" w:rsidR="005646D3" w:rsidRDefault="00F148AC">
      <w:pPr>
        <w:pStyle w:val="ListBullet"/>
        <w:keepLines/>
        <w:spacing w:after="50"/>
        <w:ind w:left="312" w:hanging="170"/>
      </w:pPr>
      <w:r>
        <w:t>case management and coordinated referrals for housing, alcohol and other drugs, mental health, financial and other needs;</w:t>
      </w:r>
    </w:p>
    <w:p w14:paraId="527211C0" w14:textId="77777777" w:rsidR="005646D3" w:rsidRDefault="00F148AC">
      <w:pPr>
        <w:pStyle w:val="ListBullet"/>
        <w:keepLines/>
        <w:spacing w:after="50"/>
        <w:ind w:left="312" w:hanging="170"/>
      </w:pPr>
      <w:r>
        <w:t>independent partner/ex-partner and family safety contact, with support available regardless of the participant’s engagement;</w:t>
      </w:r>
    </w:p>
    <w:p w14:paraId="7D1FD0B5" w14:textId="77777777" w:rsidR="005646D3" w:rsidRDefault="00F148AC">
      <w:pPr>
        <w:pStyle w:val="ListBullet"/>
        <w:keepLines/>
        <w:spacing w:after="50"/>
        <w:ind w:left="312" w:hanging="170"/>
      </w:pPr>
      <w:r>
        <w:t>active follow-up and risk response when a participant disengages;</w:t>
      </w:r>
    </w:p>
    <w:p w14:paraId="4896A76A" w14:textId="77777777" w:rsidR="005646D3" w:rsidRDefault="00F148AC">
      <w:pPr>
        <w:pStyle w:val="ListBullet"/>
        <w:keepLines/>
        <w:spacing w:after="50"/>
        <w:ind w:left="312" w:hanging="170"/>
      </w:pPr>
      <w:r>
        <w:t>post-group maintenance, relapse-prevention and re-engagement pathways; and</w:t>
      </w:r>
    </w:p>
    <w:p w14:paraId="56A16A7E" w14:textId="77777777" w:rsidR="005646D3" w:rsidRDefault="00F148AC">
      <w:pPr>
        <w:pStyle w:val="ListBullet"/>
        <w:keepLines/>
        <w:spacing w:after="50"/>
        <w:ind w:left="312" w:hanging="170"/>
      </w:pPr>
      <w:r>
        <w:t>longer-term outcome monitoring beyond attendance and completion.</w:t>
      </w:r>
    </w:p>
    <w:p w14:paraId="097F4D93" w14:textId="77777777" w:rsidR="005646D3" w:rsidRDefault="00F148AC">
      <w:pPr>
        <w:pStyle w:val="Heading2"/>
      </w:pPr>
      <w:r>
        <w:t>Tailored and community-led interventions</w:t>
      </w:r>
    </w:p>
    <w:p w14:paraId="73CFC628" w14:textId="77777777" w:rsidR="005646D3" w:rsidRDefault="00F148AC">
      <w:pPr>
        <w:pStyle w:val="BodyText"/>
        <w:spacing w:after="100"/>
      </w:pPr>
      <w:r>
        <w:t>People who use violence are not a homogeneous group. Standard program design, language, group format and assumptions about family structure may exclude participants or fail to address the context in which violence occurs. FRSA’s mapping identified only limited numbers of programs specifically designed for First Nations men, particular migrant and refugee communities, adolescents and gender-diverse cohorts. ANROWS’ integrative review of interventions for migrant and refugee men highlights the need for community-led programs that consider migration and settlement experiences and apply intersectional practice.</w:t>
      </w:r>
    </w:p>
    <w:p w14:paraId="04F1F0DC" w14:textId="77777777" w:rsidR="005646D3" w:rsidRDefault="00F148AC">
      <w:pPr>
        <w:pStyle w:val="BodyText"/>
        <w:spacing w:after="100"/>
      </w:pPr>
      <w:r>
        <w:t>Tailoring must involve more than translated materials. It may require bicultural and bilingual practitioners, interpreters, smaller groups, different engagement methods, disability access, attention to migration and settlement experiences, and partnerships with trusted community organisations. Cultural context must be understood without being used to excuse violence or dilute accountability.</w:t>
      </w:r>
    </w:p>
    <w:p w14:paraId="50F8B836" w14:textId="77777777" w:rsidR="005646D3" w:rsidRDefault="00F148AC">
      <w:pPr>
        <w:pStyle w:val="Heading2"/>
      </w:pPr>
      <w:r>
        <w:lastRenderedPageBreak/>
        <w:t>Brief interventions: useful, but not a substitute</w:t>
      </w:r>
    </w:p>
    <w:p w14:paraId="70BFCA34" w14:textId="77777777" w:rsidR="005646D3" w:rsidRDefault="00F148AC">
      <w:pPr>
        <w:pStyle w:val="BodyText"/>
        <w:spacing w:after="100"/>
      </w:pPr>
      <w:r>
        <w:t>No to Violence’s Brief Intervention Service demonstrates how short-term, multi-session individual counselling can engage men while they are waiting for, or connecting to, longer-term support. Such interventions can increase reflection, accountability and referral engagement. They should be used as part of a continuum, with clear scope, ongoing assessment and family safety safeguards. They must not be represented as an equivalent substitute for an MBCP where patterned or higher-risk violence is present.</w:t>
      </w:r>
    </w:p>
    <w:p w14:paraId="08BD1DE3" w14:textId="77777777" w:rsidR="005646D3" w:rsidRDefault="00F148AC">
      <w:pPr>
        <w:pStyle w:val="Heading2"/>
      </w:pPr>
      <w:r>
        <w:t>Recommendations for people who use violence</w:t>
      </w:r>
    </w:p>
    <w:p w14:paraId="5A303DA4" w14:textId="77777777" w:rsidR="005646D3" w:rsidRDefault="00F148AC">
      <w:pPr>
        <w:pStyle w:val="ListBullet"/>
        <w:keepLines/>
        <w:spacing w:after="50"/>
        <w:ind w:left="312" w:hanging="170"/>
      </w:pPr>
      <w:r>
        <w:t>Create a national commissioning framework for a continuum of perpetrator interventions, with common safety and accountability principles and flexibility for local and cohort-specific design.</w:t>
      </w:r>
    </w:p>
    <w:p w14:paraId="07B9B4EB" w14:textId="77777777" w:rsidR="005646D3" w:rsidRDefault="00F148AC">
      <w:pPr>
        <w:pStyle w:val="ListBullet"/>
        <w:keepLines/>
        <w:spacing w:after="50"/>
        <w:ind w:left="312" w:hanging="170"/>
      </w:pPr>
      <w:r>
        <w:t>Fund pre-group, individual, case-management and post-group components as core MBCP activity.</w:t>
      </w:r>
    </w:p>
    <w:p w14:paraId="7A5E43E7" w14:textId="77777777" w:rsidR="005646D3" w:rsidRDefault="00F148AC">
      <w:pPr>
        <w:pStyle w:val="ListBullet"/>
        <w:keepLines/>
        <w:spacing w:after="50"/>
        <w:ind w:left="312" w:hanging="170"/>
      </w:pPr>
      <w:r>
        <w:t>Guarantee independent partner/family safety contact and support, including when the person using violence does not commence, disengages from or completes a program.</w:t>
      </w:r>
    </w:p>
    <w:p w14:paraId="0D5FFF64" w14:textId="77777777" w:rsidR="005646D3" w:rsidRDefault="00F148AC">
      <w:pPr>
        <w:pStyle w:val="ListBullet"/>
        <w:keepLines/>
        <w:spacing w:after="50"/>
        <w:ind w:left="312" w:hanging="170"/>
      </w:pPr>
      <w:r>
        <w:t>Fund Aboriginal-led and community-controlled models and co-designed programs for migrant and refugee, LGBTIQA+, disability and other communities.</w:t>
      </w:r>
    </w:p>
    <w:p w14:paraId="36D54638" w14:textId="77777777" w:rsidR="005646D3" w:rsidRDefault="00F148AC">
      <w:pPr>
        <w:pStyle w:val="ListBullet"/>
        <w:keepLines/>
        <w:spacing w:after="50"/>
        <w:ind w:left="312" w:hanging="170"/>
      </w:pPr>
      <w:r>
        <w:t>Pilot and evaluate brief interventions as a bridge or early response, with dynamic risk assessment and clear escalation pathways.</w:t>
      </w:r>
    </w:p>
    <w:p w14:paraId="2EF3903C" w14:textId="08E451C2" w:rsidR="005646D3" w:rsidRDefault="00D40577">
      <w:pPr>
        <w:pStyle w:val="ListBullet"/>
        <w:keepLines/>
        <w:spacing w:after="50"/>
        <w:ind w:left="312" w:hanging="170"/>
      </w:pPr>
      <w:r w:rsidRPr="00D40577">
        <w:t>Use outcomes that include safety, reduction in coercive and controlling behaviour, accountability, parenting and sustained change</w:t>
      </w:r>
      <w:r>
        <w:t>,</w:t>
      </w:r>
      <w:r w:rsidRPr="00D40577">
        <w:t xml:space="preserve"> not program completion alone. This requires adequate funding for Family Safety Contact work so engagement with partners and ex-partners is proactive, meaningful and able to inform risk assessment, safety planning and accountability work.</w:t>
      </w:r>
    </w:p>
    <w:p w14:paraId="50F128FC" w14:textId="77777777" w:rsidR="005646D3" w:rsidRDefault="00F148AC">
      <w:pPr>
        <w:pStyle w:val="Heading1"/>
      </w:pPr>
      <w:r>
        <w:t>Priority Area 5: System integration and workforce</w:t>
      </w:r>
    </w:p>
    <w:p w14:paraId="4EBE278F" w14:textId="77777777" w:rsidR="005646D3" w:rsidRDefault="00F148AC">
      <w:pPr>
        <w:pStyle w:val="Heading2"/>
      </w:pPr>
      <w:r>
        <w:t>Recognise hybrid capability while protecting specialist leadership</w:t>
      </w:r>
    </w:p>
    <w:p w14:paraId="700074E2" w14:textId="77777777" w:rsidR="005646D3" w:rsidRDefault="00F148AC">
      <w:pPr>
        <w:pStyle w:val="BodyText"/>
        <w:spacing w:after="100"/>
      </w:pPr>
      <w:r>
        <w:t>The consultation paper describes broader Family and Relationship Services as part of the non-specialist workforce. This distinction is useful in clarifying that family relationship services are not substitutes for specialist family violence services. However, a simple specialist/non-specialist binary understates the hybrid capability held by many organisations. Providers may deliver general counselling and family law services alongside MBCPs, specialised family violence services, family safety contact, child-focused programs and family violence-informed mediation.</w:t>
      </w:r>
    </w:p>
    <w:p w14:paraId="5C90FD6F" w14:textId="77777777" w:rsidR="005646D3" w:rsidRDefault="00F148AC">
      <w:pPr>
        <w:pStyle w:val="BodyText"/>
        <w:spacing w:after="100"/>
      </w:pPr>
      <w:r>
        <w:t>Commissioning should reflect what services actually do and the capability required for those functions. Specialist family violence services must retain a central leadership role in victim-survivor advocacy, high-risk response, secondary consultation and workforce development. Integration should extend specialist expertise through the wider system, not dilute it.</w:t>
      </w:r>
    </w:p>
    <w:p w14:paraId="41576490" w14:textId="77777777" w:rsidR="005646D3" w:rsidRDefault="00F148AC">
      <w:pPr>
        <w:pStyle w:val="Heading2"/>
      </w:pPr>
      <w:r>
        <w:t>Build local and regional service integration</w:t>
      </w:r>
    </w:p>
    <w:p w14:paraId="50B9CEF7" w14:textId="77777777" w:rsidR="005646D3" w:rsidRDefault="00F148AC">
      <w:pPr>
        <w:pStyle w:val="BodyText"/>
        <w:spacing w:after="100"/>
      </w:pPr>
      <w:r>
        <w:t>The Second Action Plan should support formal arrangements across specialist family violence, family relationship, legal, health, mental health, housing, alcohol and other drug, child and family, justice and workplace services. These arrangements should include:</w:t>
      </w:r>
    </w:p>
    <w:p w14:paraId="0345ADBB" w14:textId="77777777" w:rsidR="005646D3" w:rsidRDefault="00F148AC">
      <w:pPr>
        <w:pStyle w:val="ListBullet"/>
        <w:keepLines/>
        <w:spacing w:after="50"/>
        <w:ind w:left="312" w:hanging="170"/>
      </w:pPr>
      <w:r>
        <w:t>agreed referral, escalation and feedback pathways;</w:t>
      </w:r>
    </w:p>
    <w:p w14:paraId="232683CD" w14:textId="77777777" w:rsidR="005646D3" w:rsidRDefault="00F148AC">
      <w:pPr>
        <w:pStyle w:val="ListBullet"/>
        <w:keepLines/>
        <w:spacing w:after="50"/>
        <w:ind w:left="312" w:hanging="170"/>
      </w:pPr>
      <w:r>
        <w:t>funded secondary consultation and communities of practice;</w:t>
      </w:r>
    </w:p>
    <w:p w14:paraId="179B110A" w14:textId="77777777" w:rsidR="005646D3" w:rsidRDefault="00F148AC">
      <w:pPr>
        <w:pStyle w:val="ListBullet"/>
        <w:keepLines/>
        <w:spacing w:after="50"/>
        <w:ind w:left="312" w:hanging="170"/>
      </w:pPr>
      <w:r>
        <w:t>clear and lawful information-sharing and consent processes;</w:t>
      </w:r>
    </w:p>
    <w:p w14:paraId="32E974A4" w14:textId="77777777" w:rsidR="005646D3" w:rsidRDefault="00F148AC">
      <w:pPr>
        <w:pStyle w:val="ListBullet"/>
        <w:keepLines/>
        <w:spacing w:after="50"/>
        <w:ind w:left="312" w:hanging="170"/>
      </w:pPr>
      <w:r>
        <w:t>multi-agency risk management for high-risk matters;</w:t>
      </w:r>
    </w:p>
    <w:p w14:paraId="412C8069" w14:textId="77777777" w:rsidR="005646D3" w:rsidRDefault="00F148AC">
      <w:pPr>
        <w:pStyle w:val="ListBullet"/>
        <w:keepLines/>
        <w:spacing w:after="50"/>
        <w:ind w:left="312" w:hanging="170"/>
      </w:pPr>
      <w:r>
        <w:t>shared responsibility for continuity of care rather than repeated referral without follow-through; and</w:t>
      </w:r>
    </w:p>
    <w:p w14:paraId="634704E6" w14:textId="77777777" w:rsidR="005646D3" w:rsidRDefault="00F148AC">
      <w:pPr>
        <w:pStyle w:val="ListBullet"/>
        <w:keepLines/>
        <w:spacing w:after="50"/>
        <w:ind w:left="312" w:hanging="170"/>
      </w:pPr>
      <w:r>
        <w:t>service navigation support for clients with multiple and intersecting needs.</w:t>
      </w:r>
    </w:p>
    <w:p w14:paraId="3693D3B5" w14:textId="77777777" w:rsidR="005646D3" w:rsidRDefault="00F148AC">
      <w:pPr>
        <w:pStyle w:val="Heading2"/>
      </w:pPr>
      <w:r>
        <w:t>Workforce capability requires infrastructure, not training alone</w:t>
      </w:r>
    </w:p>
    <w:p w14:paraId="602D8CA9" w14:textId="77777777" w:rsidR="005646D3" w:rsidRDefault="00F148AC">
      <w:pPr>
        <w:pStyle w:val="BodyText"/>
        <w:spacing w:after="100"/>
      </w:pPr>
      <w:r>
        <w:t>RM has made a substantial organisational investment in family violence capability. As a MARAM-prescribed organisation, RM has embedded risk assessment across relevant programs, and all practitioners and clinicians have completed Safe &amp; Together training. This supports safer identification, stronger child-centred practice and more consistent responses across counselling, family law and family violence services.</w:t>
      </w:r>
    </w:p>
    <w:p w14:paraId="4E7A1B4A" w14:textId="77777777" w:rsidR="005646D3" w:rsidRDefault="00F148AC">
      <w:pPr>
        <w:pStyle w:val="BodyText"/>
        <w:spacing w:after="100"/>
      </w:pPr>
      <w:r>
        <w:t>The Second Action Plan should build capability nationally but avoid equating a one-off training course with safe practice. Effective capability requires role definition, supervision, practice leadership, specialist consultation, cultural capability, protected learning time and organisational systems that support workers to apply what they learn.</w:t>
      </w:r>
    </w:p>
    <w:p w14:paraId="3D75D54D" w14:textId="77777777" w:rsidR="005646D3" w:rsidRDefault="00F148AC">
      <w:pPr>
        <w:pStyle w:val="ListBullet"/>
        <w:keepLines/>
        <w:spacing w:after="50"/>
        <w:ind w:left="312" w:hanging="170"/>
      </w:pPr>
      <w:r>
        <w:t>role-specific capability standards for specialist, hybrid and universal workforces;</w:t>
      </w:r>
    </w:p>
    <w:p w14:paraId="6C84C8A1" w14:textId="77777777" w:rsidR="005646D3" w:rsidRDefault="00F148AC">
      <w:pPr>
        <w:pStyle w:val="ListBullet"/>
        <w:keepLines/>
        <w:spacing w:after="50"/>
        <w:ind w:left="312" w:hanging="170"/>
      </w:pPr>
      <w:r>
        <w:lastRenderedPageBreak/>
        <w:t>foundational and advanced learning in coercive control, technology-facilitated abuse, sexual violence, misidentification, intersectionality and engagement without collusion;</w:t>
      </w:r>
    </w:p>
    <w:p w14:paraId="3D11CAA4" w14:textId="77777777" w:rsidR="005646D3" w:rsidRDefault="00F148AC">
      <w:pPr>
        <w:pStyle w:val="ListBullet"/>
        <w:keepLines/>
        <w:spacing w:after="50"/>
        <w:ind w:left="312" w:hanging="170"/>
      </w:pPr>
      <w:r>
        <w:t>culturally safe practice developed with relevant communities;</w:t>
      </w:r>
    </w:p>
    <w:p w14:paraId="6E97BCAF" w14:textId="77777777" w:rsidR="005646D3" w:rsidRDefault="00F148AC">
      <w:pPr>
        <w:pStyle w:val="ListBullet"/>
        <w:keepLines/>
        <w:spacing w:after="50"/>
        <w:ind w:left="312" w:hanging="170"/>
      </w:pPr>
      <w:r>
        <w:t>reflective practice, clinical supervision and access to specialist secondary consultation;</w:t>
      </w:r>
    </w:p>
    <w:p w14:paraId="4E2E6DE0" w14:textId="77777777" w:rsidR="005646D3" w:rsidRDefault="00F148AC">
      <w:pPr>
        <w:pStyle w:val="ListBullet"/>
        <w:keepLines/>
        <w:spacing w:after="50"/>
        <w:ind w:left="312" w:hanging="170"/>
      </w:pPr>
      <w:r>
        <w:t>funded training time and backfill, particularly for small and regional services;</w:t>
      </w:r>
    </w:p>
    <w:p w14:paraId="6639FE38" w14:textId="77777777" w:rsidR="005646D3" w:rsidRDefault="00F148AC">
      <w:pPr>
        <w:pStyle w:val="ListBullet"/>
        <w:keepLines/>
        <w:spacing w:after="50"/>
        <w:ind w:left="312" w:hanging="170"/>
      </w:pPr>
      <w:r>
        <w:t>psychosocial safety, vicarious trauma supports and workforce retention strategies; and</w:t>
      </w:r>
    </w:p>
    <w:p w14:paraId="59DA8DFF" w14:textId="77777777" w:rsidR="005646D3" w:rsidRDefault="00F148AC">
      <w:pPr>
        <w:pStyle w:val="ListBullet"/>
        <w:keepLines/>
        <w:spacing w:after="50"/>
        <w:ind w:left="312" w:hanging="170"/>
      </w:pPr>
      <w:r>
        <w:t>career pathways that enable practitioners to build specialist expertise while remaining in direct practice.</w:t>
      </w:r>
    </w:p>
    <w:p w14:paraId="30865FCE" w14:textId="77777777" w:rsidR="005646D3" w:rsidRDefault="00F148AC">
      <w:pPr>
        <w:pStyle w:val="Heading2"/>
      </w:pPr>
      <w:r>
        <w:t>Data, outcomes and evaluation</w:t>
      </w:r>
    </w:p>
    <w:p w14:paraId="2E163874" w14:textId="77777777" w:rsidR="005646D3" w:rsidRDefault="00F148AC">
      <w:pPr>
        <w:pStyle w:val="BodyText"/>
        <w:spacing w:after="100"/>
      </w:pPr>
      <w:r>
        <w:t>Current data systems often fail to capture the presence, pattern and impact of family violence consistently across family services. They may also privilege activity and completion over safety, accountability and sustained change. Data collection must be proportionate and designed so that it does not create new safety risks or discourage disclosure.</w:t>
      </w:r>
    </w:p>
    <w:p w14:paraId="25809315" w14:textId="77777777" w:rsidR="005646D3" w:rsidRDefault="00F148AC">
      <w:pPr>
        <w:pStyle w:val="BodyText"/>
        <w:spacing w:after="100"/>
      </w:pPr>
      <w:r>
        <w:t>The Second Action Plan should establish common national outcome domains while allowing different models to demonstrate how they contribute. The framework should:</w:t>
      </w:r>
    </w:p>
    <w:p w14:paraId="50975768" w14:textId="77777777" w:rsidR="005646D3" w:rsidRDefault="00F148AC">
      <w:pPr>
        <w:pStyle w:val="ListBullet"/>
        <w:keepLines/>
        <w:spacing w:after="50"/>
        <w:ind w:left="312" w:hanging="170"/>
      </w:pPr>
      <w:r>
        <w:t>capture safe identification and response across specialist, hybrid and non-specialist settings;</w:t>
      </w:r>
    </w:p>
    <w:p w14:paraId="59011542" w14:textId="77777777" w:rsidR="005646D3" w:rsidRDefault="00F148AC">
      <w:pPr>
        <w:pStyle w:val="ListBullet"/>
        <w:keepLines/>
        <w:spacing w:after="50"/>
        <w:ind w:left="312" w:hanging="170"/>
      </w:pPr>
      <w:r>
        <w:t>measure victim-survivor and child safety, risk reduction, accountability, service connection and sustained outcomes;</w:t>
      </w:r>
    </w:p>
    <w:p w14:paraId="19997512" w14:textId="77777777" w:rsidR="005646D3" w:rsidRDefault="00F148AC">
      <w:pPr>
        <w:pStyle w:val="ListBullet"/>
        <w:keepLines/>
        <w:spacing w:after="50"/>
        <w:ind w:left="312" w:hanging="170"/>
      </w:pPr>
      <w:r>
        <w:t>include outcomes for partners, ex-partners, children and family members, not only the person attending an intervention;</w:t>
      </w:r>
    </w:p>
    <w:p w14:paraId="2F2D0330" w14:textId="77777777" w:rsidR="005646D3" w:rsidRDefault="00F148AC">
      <w:pPr>
        <w:pStyle w:val="ListBullet"/>
        <w:keepLines/>
        <w:spacing w:after="50"/>
        <w:ind w:left="312" w:hanging="170"/>
      </w:pPr>
      <w:r>
        <w:t>disaggregate outcomes by cohort, geography and access pathway to identify inequity and unmet need;</w:t>
      </w:r>
    </w:p>
    <w:p w14:paraId="6CE0257F" w14:textId="77777777" w:rsidR="005646D3" w:rsidRDefault="00F148AC">
      <w:pPr>
        <w:pStyle w:val="ListBullet"/>
        <w:keepLines/>
        <w:spacing w:after="50"/>
        <w:ind w:left="312" w:hanging="170"/>
      </w:pPr>
      <w:r>
        <w:t>fund independent and longitudinal evaluation rather than imposing unfunded reporting requirements; and</w:t>
      </w:r>
    </w:p>
    <w:p w14:paraId="6E0B69E7" w14:textId="77777777" w:rsidR="005646D3" w:rsidRDefault="00F148AC">
      <w:pPr>
        <w:pStyle w:val="ListBullet"/>
        <w:keepLines/>
        <w:spacing w:after="50"/>
        <w:ind w:left="312" w:hanging="170"/>
      </w:pPr>
      <w:r>
        <w:t>share practice learning nationally while preserving local and culturally specific innovation.</w:t>
      </w:r>
    </w:p>
    <w:p w14:paraId="6B55E45F" w14:textId="77777777" w:rsidR="00472AD9" w:rsidRDefault="00472AD9" w:rsidP="00472AD9"/>
    <w:p w14:paraId="7B1F20D2" w14:textId="77777777" w:rsidR="00D40577" w:rsidRPr="00472AD9" w:rsidRDefault="00D40577" w:rsidP="00472AD9"/>
    <w:p w14:paraId="46EAAAFE" w14:textId="11E51BD5" w:rsidR="005646D3" w:rsidRDefault="00F148AC">
      <w:pPr>
        <w:pStyle w:val="Heading1"/>
      </w:pPr>
      <w:r>
        <w:t>Implementation priorities for the first two years</w:t>
      </w:r>
    </w:p>
    <w:p w14:paraId="33AEB7A7" w14:textId="77777777" w:rsidR="005646D3" w:rsidRDefault="00F148AC">
      <w:pPr>
        <w:pStyle w:val="BodyText"/>
        <w:spacing w:after="100"/>
      </w:pPr>
      <w:r>
        <w:t>To translate these recommendations into action, RM proposes the following early implementation priorities.</w:t>
      </w:r>
    </w:p>
    <w:tbl>
      <w:tblPr>
        <w:tblW w:w="0" w:type="auto"/>
        <w:jc w:val="center"/>
        <w:tblLayout w:type="fixed"/>
        <w:tblLook w:val="04A0" w:firstRow="1" w:lastRow="0" w:firstColumn="1" w:lastColumn="0" w:noHBand="0" w:noVBand="1"/>
      </w:tblPr>
      <w:tblGrid>
        <w:gridCol w:w="4904"/>
        <w:gridCol w:w="6917"/>
      </w:tblGrid>
      <w:tr w:rsidR="005646D3" w14:paraId="02DC7F66" w14:textId="77777777">
        <w:trPr>
          <w:tblHeader/>
          <w:jc w:val="center"/>
        </w:trPr>
        <w:tc>
          <w:tcPr>
            <w:tcW w:w="4904" w:type="dxa"/>
            <w:tcBorders>
              <w:top w:val="single" w:sz="6" w:space="0" w:color="123E52"/>
              <w:left w:val="single" w:sz="6" w:space="0" w:color="123E52"/>
              <w:bottom w:val="single" w:sz="6" w:space="0" w:color="123E52"/>
              <w:right w:val="single" w:sz="6" w:space="0" w:color="123E52"/>
            </w:tcBorders>
            <w:shd w:val="clear" w:color="auto" w:fill="123E52"/>
            <w:tcMar>
              <w:top w:w="110" w:type="dxa"/>
              <w:left w:w="130" w:type="dxa"/>
              <w:bottom w:w="110" w:type="dxa"/>
              <w:right w:w="130" w:type="dxa"/>
            </w:tcMar>
          </w:tcPr>
          <w:p w14:paraId="50C8524A" w14:textId="77777777" w:rsidR="005646D3" w:rsidRDefault="00F148AC">
            <w:pPr>
              <w:spacing w:line="240" w:lineRule="auto"/>
            </w:pPr>
            <w:r>
              <w:rPr>
                <w:b/>
                <w:color w:val="FFFFFF"/>
                <w:sz w:val="17"/>
              </w:rPr>
              <w:t>Priority</w:t>
            </w:r>
          </w:p>
        </w:tc>
        <w:tc>
          <w:tcPr>
            <w:tcW w:w="4904" w:type="dxa"/>
            <w:tcBorders>
              <w:top w:val="single" w:sz="6" w:space="0" w:color="123E52"/>
              <w:left w:val="single" w:sz="6" w:space="0" w:color="123E52"/>
              <w:bottom w:val="single" w:sz="6" w:space="0" w:color="123E52"/>
              <w:right w:val="single" w:sz="6" w:space="0" w:color="123E52"/>
            </w:tcBorders>
            <w:shd w:val="clear" w:color="auto" w:fill="123E52"/>
            <w:tcMar>
              <w:top w:w="110" w:type="dxa"/>
              <w:left w:w="130" w:type="dxa"/>
              <w:bottom w:w="110" w:type="dxa"/>
              <w:right w:w="130" w:type="dxa"/>
            </w:tcMar>
          </w:tcPr>
          <w:p w14:paraId="3009CBCF" w14:textId="77777777" w:rsidR="005646D3" w:rsidRDefault="00F148AC">
            <w:pPr>
              <w:spacing w:line="240" w:lineRule="auto"/>
            </w:pPr>
            <w:r>
              <w:rPr>
                <w:b/>
                <w:color w:val="FFFFFF"/>
                <w:sz w:val="17"/>
              </w:rPr>
              <w:t>Proposed action</w:t>
            </w:r>
          </w:p>
        </w:tc>
      </w:tr>
      <w:tr w:rsidR="005646D3" w14:paraId="354615DE"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60100C33" w14:textId="77777777" w:rsidR="005646D3" w:rsidRDefault="00F148AC">
            <w:pPr>
              <w:spacing w:after="0" w:line="240" w:lineRule="auto"/>
            </w:pPr>
            <w:r>
              <w:rPr>
                <w:b/>
                <w:color w:val="123E52"/>
                <w:sz w:val="16"/>
              </w:rPr>
              <w:t>Cross-portfolio alignment mechanism</w:t>
            </w:r>
          </w:p>
        </w:tc>
        <w:tc>
          <w:tcPr>
            <w:tcW w:w="6917"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62B0D772" w14:textId="77777777" w:rsidR="005646D3" w:rsidRDefault="00F148AC">
            <w:pPr>
              <w:spacing w:after="0" w:line="240" w:lineRule="auto"/>
            </w:pPr>
            <w:r>
              <w:rPr>
                <w:sz w:val="16"/>
              </w:rPr>
              <w:t>Establish joint DSS–Attorney-General’s Department governance linking the Second Action Plan, the families and children reform and consideration of the Support for Separating Families review, with specialist family violence, First Nations, lived-experience and sector representation.</w:t>
            </w:r>
          </w:p>
        </w:tc>
      </w:tr>
      <w:tr w:rsidR="005646D3" w14:paraId="1755C64D"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5CC1BD3D" w14:textId="77777777" w:rsidR="005646D3" w:rsidRDefault="00F148AC">
            <w:pPr>
              <w:spacing w:after="0" w:line="240" w:lineRule="auto"/>
            </w:pPr>
            <w:r>
              <w:rPr>
                <w:b/>
                <w:color w:val="123E52"/>
                <w:sz w:val="16"/>
              </w:rPr>
              <w:t>National recognition and commissioning framework</w:t>
            </w:r>
          </w:p>
        </w:tc>
        <w:tc>
          <w:tcPr>
            <w:tcW w:w="6917"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0F85B3F7" w14:textId="77777777" w:rsidR="005646D3" w:rsidRDefault="00F148AC">
            <w:pPr>
              <w:spacing w:after="0" w:line="240" w:lineRule="auto"/>
            </w:pPr>
            <w:r>
              <w:rPr>
                <w:sz w:val="16"/>
              </w:rPr>
              <w:t>Define the early-intervention role of family and relationship services and establish funding principles for identification, assessment, brief intervention, secondary consultation, warm referral and continuity of care.</w:t>
            </w:r>
          </w:p>
        </w:tc>
      </w:tr>
      <w:tr w:rsidR="005646D3" w14:paraId="6D543088"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50A53AF5" w14:textId="77777777" w:rsidR="005646D3" w:rsidRDefault="00F148AC">
            <w:pPr>
              <w:spacing w:after="0" w:line="240" w:lineRule="auto"/>
            </w:pPr>
            <w:r>
              <w:rPr>
                <w:b/>
                <w:color w:val="123E52"/>
                <w:sz w:val="16"/>
              </w:rPr>
              <w:t>Integrated regional demonstration sites</w:t>
            </w:r>
          </w:p>
        </w:tc>
        <w:tc>
          <w:tcPr>
            <w:tcW w:w="6917"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6DD3B1AD" w14:textId="77777777" w:rsidR="005646D3" w:rsidRDefault="00F148AC">
            <w:pPr>
              <w:spacing w:after="0" w:line="240" w:lineRule="auto"/>
            </w:pPr>
            <w:r>
              <w:rPr>
                <w:sz w:val="16"/>
              </w:rPr>
              <w:t>Fund regions to test connected pathways across counselling, parenting, family law, specialised family violence services, legal assistance and interventions for people who use violence.</w:t>
            </w:r>
          </w:p>
        </w:tc>
      </w:tr>
      <w:tr w:rsidR="005646D3" w14:paraId="180A9BFA"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51D6C6D1" w14:textId="77777777" w:rsidR="005646D3" w:rsidRDefault="00F148AC">
            <w:pPr>
              <w:spacing w:after="0" w:line="240" w:lineRule="auto"/>
            </w:pPr>
            <w:r>
              <w:rPr>
                <w:b/>
                <w:color w:val="123E52"/>
                <w:sz w:val="16"/>
              </w:rPr>
              <w:t>Perpetrator intervention continuum</w:t>
            </w:r>
          </w:p>
        </w:tc>
        <w:tc>
          <w:tcPr>
            <w:tcW w:w="6917"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3796320B" w14:textId="77777777" w:rsidR="005646D3" w:rsidRDefault="00F148AC">
            <w:pPr>
              <w:spacing w:after="0" w:line="240" w:lineRule="auto"/>
            </w:pPr>
            <w:r>
              <w:rPr>
                <w:sz w:val="16"/>
              </w:rPr>
              <w:t>Commission and evaluate a continuum including readiness work, brief interventions, tailored cohort programs, individual and group work, case management, partner/family safety contact and coordinated high-risk responses.</w:t>
            </w:r>
          </w:p>
        </w:tc>
      </w:tr>
      <w:tr w:rsidR="005646D3" w14:paraId="444DC745"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6A0E8056" w14:textId="77777777" w:rsidR="005646D3" w:rsidRDefault="00F148AC">
            <w:pPr>
              <w:spacing w:after="0" w:line="240" w:lineRule="auto"/>
            </w:pPr>
            <w:r>
              <w:rPr>
                <w:b/>
                <w:color w:val="123E52"/>
                <w:sz w:val="16"/>
              </w:rPr>
              <w:t>LAFDR evaluation and design principles</w:t>
            </w:r>
          </w:p>
        </w:tc>
        <w:tc>
          <w:tcPr>
            <w:tcW w:w="6917"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495E5E20" w14:textId="77777777" w:rsidR="005646D3" w:rsidRDefault="00F148AC">
            <w:pPr>
              <w:spacing w:after="0" w:line="240" w:lineRule="auto"/>
            </w:pPr>
            <w:r>
              <w:rPr>
                <w:sz w:val="16"/>
              </w:rPr>
              <w:t>Fund independent evaluation of family-violence-informed LAFDR models and develop national principles for safe, legally assisted practice in suitable matters.</w:t>
            </w:r>
          </w:p>
        </w:tc>
      </w:tr>
      <w:tr w:rsidR="005646D3" w14:paraId="010AA1A6"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76E26D24" w14:textId="77777777" w:rsidR="005646D3" w:rsidRDefault="00F148AC">
            <w:pPr>
              <w:spacing w:after="0" w:line="240" w:lineRule="auto"/>
            </w:pPr>
            <w:r>
              <w:rPr>
                <w:b/>
                <w:color w:val="123E52"/>
                <w:sz w:val="16"/>
              </w:rPr>
              <w:t>Workplace early-intervention program</w:t>
            </w:r>
          </w:p>
        </w:tc>
        <w:tc>
          <w:tcPr>
            <w:tcW w:w="6917"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6781FE6E" w14:textId="77777777" w:rsidR="005646D3" w:rsidRDefault="00F148AC">
            <w:pPr>
              <w:spacing w:after="0" w:line="240" w:lineRule="auto"/>
            </w:pPr>
            <w:r>
              <w:rPr>
                <w:sz w:val="16"/>
              </w:rPr>
              <w:t>Fund specialist demonstration models for victim-survivor support, organisational capability and safe referral of employees using harmful behaviours, including access for small and medium employers.</w:t>
            </w:r>
          </w:p>
        </w:tc>
      </w:tr>
      <w:tr w:rsidR="005646D3" w14:paraId="2C51E9EC"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0FE80F0F" w14:textId="77777777" w:rsidR="005646D3" w:rsidRDefault="00F148AC">
            <w:pPr>
              <w:spacing w:after="0" w:line="240" w:lineRule="auto"/>
            </w:pPr>
            <w:r>
              <w:rPr>
                <w:b/>
                <w:color w:val="123E52"/>
                <w:sz w:val="16"/>
              </w:rPr>
              <w:t>National workforce capability package</w:t>
            </w:r>
          </w:p>
        </w:tc>
        <w:tc>
          <w:tcPr>
            <w:tcW w:w="6917" w:type="dxa"/>
            <w:tcBorders>
              <w:top w:val="single" w:sz="4" w:space="0" w:color="B8CCD1"/>
              <w:left w:val="single" w:sz="4" w:space="0" w:color="B8CCD1"/>
              <w:bottom w:val="single" w:sz="4" w:space="0" w:color="B8CCD1"/>
              <w:right w:val="single" w:sz="4" w:space="0" w:color="B8CCD1"/>
            </w:tcBorders>
            <w:shd w:val="clear" w:color="auto" w:fill="F4F8F9"/>
            <w:tcMar>
              <w:top w:w="110" w:type="dxa"/>
              <w:left w:w="130" w:type="dxa"/>
              <w:bottom w:w="110" w:type="dxa"/>
              <w:right w:w="130" w:type="dxa"/>
            </w:tcMar>
          </w:tcPr>
          <w:p w14:paraId="54967D4E" w14:textId="77777777" w:rsidR="005646D3" w:rsidRDefault="00F148AC">
            <w:pPr>
              <w:spacing w:after="0" w:line="240" w:lineRule="auto"/>
            </w:pPr>
            <w:r>
              <w:rPr>
                <w:sz w:val="16"/>
              </w:rPr>
              <w:t>Develop role-based standards and fund training, supervision, secondary consultation, cultural capability, workforce backfill, psychosocial safety and vicarious trauma supports.</w:t>
            </w:r>
          </w:p>
        </w:tc>
      </w:tr>
      <w:tr w:rsidR="005646D3" w14:paraId="35653D7E" w14:textId="77777777">
        <w:trPr>
          <w:cantSplit/>
          <w:jc w:val="center"/>
        </w:trPr>
        <w:tc>
          <w:tcPr>
            <w:tcW w:w="2721"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5D87D6F4" w14:textId="77777777" w:rsidR="005646D3" w:rsidRDefault="00F148AC">
            <w:pPr>
              <w:spacing w:after="0" w:line="240" w:lineRule="auto"/>
            </w:pPr>
            <w:r>
              <w:rPr>
                <w:b/>
                <w:color w:val="123E52"/>
                <w:sz w:val="16"/>
              </w:rPr>
              <w:t>Outcomes and evidence fund</w:t>
            </w:r>
          </w:p>
        </w:tc>
        <w:tc>
          <w:tcPr>
            <w:tcW w:w="6917" w:type="dxa"/>
            <w:tcBorders>
              <w:top w:val="single" w:sz="4" w:space="0" w:color="B8CCD1"/>
              <w:left w:val="single" w:sz="4" w:space="0" w:color="B8CCD1"/>
              <w:bottom w:val="single" w:sz="4" w:space="0" w:color="B8CCD1"/>
              <w:right w:val="single" w:sz="4" w:space="0" w:color="B8CCD1"/>
            </w:tcBorders>
            <w:shd w:val="clear" w:color="auto" w:fill="FFFFFF"/>
            <w:tcMar>
              <w:top w:w="110" w:type="dxa"/>
              <w:left w:w="130" w:type="dxa"/>
              <w:bottom w:w="110" w:type="dxa"/>
              <w:right w:w="130" w:type="dxa"/>
            </w:tcMar>
          </w:tcPr>
          <w:p w14:paraId="3F4E2EC6" w14:textId="77777777" w:rsidR="005646D3" w:rsidRDefault="00F148AC">
            <w:pPr>
              <w:spacing w:after="0" w:line="240" w:lineRule="auto"/>
            </w:pPr>
            <w:r>
              <w:rPr>
                <w:sz w:val="16"/>
              </w:rPr>
              <w:t>Provide dedicated evaluation funding for innovative, culturally specific and tailored interventions, using common outcome domains and longitudinal follow-up where feasible.</w:t>
            </w:r>
          </w:p>
        </w:tc>
      </w:tr>
    </w:tbl>
    <w:p w14:paraId="07F4E344" w14:textId="77777777" w:rsidR="005646D3" w:rsidRDefault="005646D3">
      <w:pPr>
        <w:spacing w:after="0"/>
      </w:pPr>
    </w:p>
    <w:p w14:paraId="58BF6F09" w14:textId="77777777" w:rsidR="005646D3" w:rsidRDefault="00F148AC">
      <w:pPr>
        <w:pStyle w:val="Heading1"/>
      </w:pPr>
      <w:r>
        <w:lastRenderedPageBreak/>
        <w:t>Conclusion</w:t>
      </w:r>
    </w:p>
    <w:p w14:paraId="4313831D" w14:textId="77777777" w:rsidR="005646D3" w:rsidRDefault="00F148AC">
      <w:pPr>
        <w:pStyle w:val="BodyText"/>
        <w:spacing w:after="100"/>
      </w:pPr>
      <w:r>
        <w:t>The Second Action Plan is an opportunity to build a genuinely whole-of-system response that reaches people earlier, responds to different patterns and levels of risk, and connects prevention, early intervention, response and recovery. The family and relationship services sector should be central to this work.</w:t>
      </w:r>
    </w:p>
    <w:p w14:paraId="5E99B704" w14:textId="77777777" w:rsidR="005646D3" w:rsidRDefault="00F148AC">
      <w:pPr>
        <w:pStyle w:val="BodyText"/>
        <w:spacing w:after="100"/>
      </w:pPr>
      <w:r>
        <w:t>RM’s experience shows that family violence is routinely present in counselling, family dispute resolution, parenting, family law and workplace settings. These are not marginal points of contact. They are critical opportunities to identify harm, support victim-survivors and children, engage people using violence, strengthen accountability and prevent escalation.</w:t>
      </w:r>
    </w:p>
    <w:p w14:paraId="4A0EF93B" w14:textId="77777777" w:rsidR="005646D3" w:rsidRDefault="00F148AC">
      <w:pPr>
        <w:pStyle w:val="BodyText"/>
        <w:spacing w:after="100"/>
      </w:pPr>
      <w:r>
        <w:t>The Commonwealth now has a rare opportunity to align the Second Action Plan with reforms to DSS family programs and Attorney-General’s Department family relationship services. Joined-up governance, commissioning and outcomes would reduce fragmentation and build on existing service infrastructure, while preserving specialist leadership and Aboriginal self-determination.</w:t>
      </w:r>
    </w:p>
    <w:p w14:paraId="3B7C3209" w14:textId="77777777" w:rsidR="005646D3" w:rsidRDefault="00F148AC">
      <w:pPr>
        <w:pStyle w:val="BodyText"/>
        <w:spacing w:after="100"/>
      </w:pPr>
      <w:r>
        <w:t>With deliberate recognition, sustainable funding, specialist partnerships and strong evaluation, family and relationship services can help close the gap between community-based help-seeking and specialist family violence responses. RM urges the Australian Government to use this capability as a core part of the national effort to end violence against women and children within a generation.</w:t>
      </w:r>
    </w:p>
    <w:p w14:paraId="269868CD" w14:textId="77777777" w:rsidR="005646D3" w:rsidRDefault="00F148AC">
      <w:pPr>
        <w:pStyle w:val="Heading1"/>
      </w:pPr>
      <w:r>
        <w:t>References</w:t>
      </w:r>
    </w:p>
    <w:p w14:paraId="3FF938AB" w14:textId="77777777" w:rsidR="005646D3" w:rsidRDefault="00F148AC">
      <w:pPr>
        <w:pStyle w:val="Reference"/>
        <w:spacing w:after="60"/>
      </w:pPr>
      <w:r>
        <w:t xml:space="preserve">Australia’s National Research Organisation for Women’s Safety (ANROWS) (2026). Evidence to action: informing direction for the Second Action Plan – Consultation Paper in support of the National Plan to End Violence against Women and Children 2022-2032. </w:t>
      </w:r>
      <w:hyperlink r:id="rId8">
        <w:r>
          <w:rPr>
            <w:color w:val="2A8191"/>
            <w:u w:val="single"/>
          </w:rPr>
          <w:t>Available online</w:t>
        </w:r>
      </w:hyperlink>
    </w:p>
    <w:p w14:paraId="56FFDACD" w14:textId="77777777" w:rsidR="005646D3" w:rsidRDefault="00F148AC">
      <w:pPr>
        <w:pStyle w:val="Reference"/>
        <w:spacing w:after="60"/>
      </w:pPr>
      <w:r>
        <w:t xml:space="preserve">Australian Government Attorney-General’s Department (2024). Support for Separating Families: Review of the Family Relationships Services Program. </w:t>
      </w:r>
      <w:hyperlink r:id="rId9">
        <w:r>
          <w:rPr>
            <w:color w:val="2A8191"/>
            <w:u w:val="single"/>
          </w:rPr>
          <w:t>Available online</w:t>
        </w:r>
      </w:hyperlink>
    </w:p>
    <w:p w14:paraId="3079CCC8" w14:textId="77777777" w:rsidR="005646D3" w:rsidRDefault="00F148AC">
      <w:pPr>
        <w:pStyle w:val="Reference"/>
        <w:spacing w:after="60"/>
      </w:pPr>
      <w:r>
        <w:t xml:space="preserve">Australian Government Department of Social Services (2022). National Plan to End Violence against Women and Children 2022-2032. </w:t>
      </w:r>
      <w:hyperlink r:id="rId10">
        <w:r>
          <w:rPr>
            <w:color w:val="2A8191"/>
            <w:u w:val="single"/>
          </w:rPr>
          <w:t>Available online</w:t>
        </w:r>
      </w:hyperlink>
    </w:p>
    <w:p w14:paraId="4BB1D41F" w14:textId="77777777" w:rsidR="005646D3" w:rsidRDefault="00F148AC">
      <w:pPr>
        <w:pStyle w:val="Reference"/>
        <w:spacing w:after="60"/>
      </w:pPr>
      <w:r>
        <w:t xml:space="preserve">Australian Government Department of Social Services (2025-2026). A new approach to programs for families and children: consultation and reform materials. </w:t>
      </w:r>
      <w:hyperlink r:id="rId11">
        <w:r>
          <w:rPr>
            <w:color w:val="2A8191"/>
            <w:u w:val="single"/>
          </w:rPr>
          <w:t>Available online</w:t>
        </w:r>
      </w:hyperlink>
    </w:p>
    <w:p w14:paraId="00237D56" w14:textId="77777777" w:rsidR="005646D3" w:rsidRDefault="00F148AC">
      <w:pPr>
        <w:pStyle w:val="Reference"/>
        <w:spacing w:after="60"/>
      </w:pPr>
      <w:r>
        <w:t xml:space="preserve">Block, K., Tarpey-Brown, G., Khan, N., Hoang, P., Sutherland, G. &amp; Vaughan, C. (2025). Interventions for migrant and refugee men who use domestic, family and sexual violence: An integrative review of evidence. ANROWS. </w:t>
      </w:r>
      <w:hyperlink r:id="rId12">
        <w:r>
          <w:rPr>
            <w:color w:val="2A8191"/>
            <w:u w:val="single"/>
          </w:rPr>
          <w:t>Available online</w:t>
        </w:r>
      </w:hyperlink>
    </w:p>
    <w:p w14:paraId="6C8BF813" w14:textId="77777777" w:rsidR="005646D3" w:rsidRDefault="00F148AC">
      <w:pPr>
        <w:pStyle w:val="Reference"/>
        <w:spacing w:after="60"/>
      </w:pPr>
      <w:r>
        <w:t xml:space="preserve">Expert Advisory Committee on Perpetrator Interventions (2018). Expert Advisory Committee on Perpetrator Interventions: Final Report. State of Victoria. </w:t>
      </w:r>
      <w:hyperlink r:id="rId13">
        <w:r>
          <w:rPr>
            <w:color w:val="2A8191"/>
            <w:u w:val="single"/>
          </w:rPr>
          <w:t>Available online</w:t>
        </w:r>
      </w:hyperlink>
    </w:p>
    <w:p w14:paraId="50B8D4B5" w14:textId="77777777" w:rsidR="005646D3" w:rsidRDefault="00F148AC">
      <w:pPr>
        <w:pStyle w:val="Reference"/>
        <w:spacing w:after="60"/>
      </w:pPr>
      <w:r>
        <w:t xml:space="preserve">Family &amp; Relationship Services Australia (FRSA) (2025). FRSA Member Mapping: Targeted intervention programs for people who use violence in intimate/family relationships. </w:t>
      </w:r>
      <w:hyperlink r:id="rId14">
        <w:r>
          <w:rPr>
            <w:color w:val="2A8191"/>
            <w:u w:val="single"/>
          </w:rPr>
          <w:t>Available online</w:t>
        </w:r>
      </w:hyperlink>
    </w:p>
    <w:p w14:paraId="5DC509E1" w14:textId="77777777" w:rsidR="005646D3" w:rsidRDefault="00F148AC">
      <w:pPr>
        <w:pStyle w:val="Reference"/>
        <w:spacing w:after="60"/>
      </w:pPr>
      <w:r>
        <w:t xml:space="preserve">Fitz-Gibbon, K., McGowan, J., Helps, N. &amp; Ralph, B. (2024). Engaging in Change: A Victorian study of perpetrator program attrition and participant engagement in men’s behaviour change programs. Monash University. </w:t>
      </w:r>
      <w:hyperlink r:id="rId15">
        <w:r>
          <w:rPr>
            <w:color w:val="2A8191"/>
            <w:u w:val="single"/>
          </w:rPr>
          <w:t>Available online</w:t>
        </w:r>
      </w:hyperlink>
    </w:p>
    <w:p w14:paraId="6B18ECAE" w14:textId="77777777" w:rsidR="005646D3" w:rsidRDefault="00F148AC">
      <w:pPr>
        <w:pStyle w:val="Reference"/>
        <w:spacing w:after="60"/>
      </w:pPr>
      <w:r>
        <w:t xml:space="preserve">Helps, N., Bell, C., Schulze, C., Vlais, R., Clark, O., Seamer, J. &amp; Buys, R. (2025). The role of men’s behaviour change programs in addressing men’s use of domestic, family and sexual violence: An evidence brief. ANROWS, in partnership with No to Violence. </w:t>
      </w:r>
      <w:hyperlink r:id="rId16">
        <w:r>
          <w:rPr>
            <w:color w:val="2A8191"/>
            <w:u w:val="single"/>
          </w:rPr>
          <w:t>Available online</w:t>
        </w:r>
      </w:hyperlink>
    </w:p>
    <w:p w14:paraId="363CB74A" w14:textId="77777777" w:rsidR="005646D3" w:rsidRDefault="00F148AC">
      <w:pPr>
        <w:pStyle w:val="Reference"/>
        <w:spacing w:after="60"/>
      </w:pPr>
      <w:r>
        <w:t xml:space="preserve">Kaspiew, R., De Maio, J., Deblaquiere, J. &amp; Horsfall, B. (2012). Evaluation of a pilot of legally assisted and supported family dispute resolution in family violence cases. Australian Institute of Family Studies. </w:t>
      </w:r>
      <w:hyperlink r:id="rId17">
        <w:r>
          <w:rPr>
            <w:color w:val="2A8191"/>
            <w:u w:val="single"/>
          </w:rPr>
          <w:t>Available online</w:t>
        </w:r>
      </w:hyperlink>
    </w:p>
    <w:p w14:paraId="525050E6" w14:textId="77777777" w:rsidR="005646D3" w:rsidRDefault="00F148AC">
      <w:pPr>
        <w:pStyle w:val="Reference"/>
        <w:spacing w:after="60"/>
      </w:pPr>
      <w:r>
        <w:t xml:space="preserve">McNicol, E., Fitz-Gibbon, K. &amp; Brewer, S. (2022). From Workplace Sabotage to Embedded Supports: Examining the Impact of Domestic and Family Violence across Australian Workplaces. Monash University. </w:t>
      </w:r>
      <w:hyperlink r:id="rId18">
        <w:r>
          <w:rPr>
            <w:color w:val="2A8191"/>
            <w:u w:val="single"/>
          </w:rPr>
          <w:t>Available online</w:t>
        </w:r>
      </w:hyperlink>
    </w:p>
    <w:p w14:paraId="6E3C582D" w14:textId="77777777" w:rsidR="005646D3" w:rsidRDefault="00F148AC">
      <w:pPr>
        <w:pStyle w:val="Reference"/>
        <w:spacing w:after="60"/>
      </w:pPr>
      <w:r>
        <w:t xml:space="preserve">No to Violence (2026). Brief Intervention Service and Men’s Referral Service practice information. </w:t>
      </w:r>
      <w:hyperlink r:id="rId19">
        <w:r>
          <w:rPr>
            <w:color w:val="2A8191"/>
            <w:u w:val="single"/>
          </w:rPr>
          <w:t>Available online</w:t>
        </w:r>
      </w:hyperlink>
    </w:p>
    <w:sectPr w:rsidR="005646D3" w:rsidSect="001F74CE">
      <w:headerReference w:type="default" r:id="rId20"/>
      <w:footerReference w:type="default" r:id="rId21"/>
      <w:headerReference w:type="first" r:id="rId22"/>
      <w:pgSz w:w="11906" w:h="16838"/>
      <w:pgMar w:top="907" w:right="1134" w:bottom="907" w:left="1134" w:header="425"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29217" w14:textId="77777777" w:rsidR="00B57FE9" w:rsidRDefault="00B57FE9">
      <w:pPr>
        <w:spacing w:after="0" w:line="240" w:lineRule="auto"/>
      </w:pPr>
      <w:r>
        <w:separator/>
      </w:r>
    </w:p>
  </w:endnote>
  <w:endnote w:type="continuationSeparator" w:id="0">
    <w:p w14:paraId="2B712B44" w14:textId="77777777" w:rsidR="00B57FE9" w:rsidRDefault="00B57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angal Pro">
    <w:charset w:val="00"/>
    <w:family w:val="auto"/>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D16A" w14:textId="77777777" w:rsidR="005646D3" w:rsidRDefault="00F148AC">
    <w:pPr>
      <w:pStyle w:val="Footer"/>
      <w:tabs>
        <w:tab w:val="right" w:pos="9468"/>
      </w:tabs>
    </w:pPr>
    <w:r>
      <w:rPr>
        <w:color w:val="5B6C74"/>
        <w:sz w:val="15"/>
      </w:rPr>
      <w:t>Draft submission · July 2026</w:t>
    </w:r>
    <w:r>
      <w:tab/>
    </w:r>
    <w:r>
      <w:rPr>
        <w:color w:val="5B6C74"/>
        <w:sz w:val="15"/>
      </w:rPr>
      <w:t xml:space="preserve">Page </w:t>
    </w:r>
    <w:r>
      <w:rPr>
        <w:color w:val="5B6C74"/>
        <w:sz w:val="15"/>
      </w:rPr>
      <w:fldChar w:fldCharType="begin"/>
    </w:r>
    <w:r>
      <w:rPr>
        <w:color w:val="5B6C74"/>
        <w:sz w:val="15"/>
      </w:rPr>
      <w:instrText xml:space="preserve"> PAGE </w:instrText>
    </w:r>
    <w:r>
      <w:rPr>
        <w:color w:val="5B6C74"/>
        <w:sz w:val="15"/>
      </w:rPr>
      <w:fldChar w:fldCharType="separate"/>
    </w:r>
    <w:r w:rsidR="00B32539">
      <w:rPr>
        <w:noProof/>
        <w:color w:val="5B6C74"/>
        <w:sz w:val="15"/>
      </w:rPr>
      <w:t>2</w:t>
    </w:r>
    <w:r>
      <w:rPr>
        <w:color w:val="5B6C74"/>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39A6" w14:textId="77777777" w:rsidR="00B57FE9" w:rsidRDefault="00B57FE9">
      <w:pPr>
        <w:spacing w:after="0" w:line="240" w:lineRule="auto"/>
      </w:pPr>
      <w:r>
        <w:separator/>
      </w:r>
    </w:p>
  </w:footnote>
  <w:footnote w:type="continuationSeparator" w:id="0">
    <w:p w14:paraId="1E18689D" w14:textId="77777777" w:rsidR="00B57FE9" w:rsidRDefault="00B57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1810" w14:textId="6739B55E" w:rsidR="005646D3" w:rsidRDefault="00F148AC">
    <w:pPr>
      <w:pStyle w:val="Header"/>
      <w:pBdr>
        <w:bottom w:val="single" w:sz="6" w:space="3" w:color="B8CCD1"/>
      </w:pBdr>
    </w:pPr>
    <w:r>
      <w:rPr>
        <w:b/>
        <w:color w:val="123E52"/>
        <w:sz w:val="15"/>
      </w:rPr>
      <w:t xml:space="preserve">RELATIONSHIP </w:t>
    </w:r>
    <w:r w:rsidR="00BB1BCB">
      <w:rPr>
        <w:b/>
        <w:color w:val="123E52"/>
        <w:sz w:val="15"/>
      </w:rPr>
      <w:t>MATTERS</w:t>
    </w:r>
    <w:r w:rsidR="00BB1BCB">
      <w:rPr>
        <w:color w:val="5B6C74"/>
        <w:sz w:val="15"/>
      </w:rPr>
      <w:t xml:space="preserve"> | SECOND</w:t>
    </w:r>
    <w:r>
      <w:rPr>
        <w:color w:val="5B6C74"/>
        <w:sz w:val="15"/>
      </w:rPr>
      <w:t xml:space="preserve"> ACTION PLAN CONSULTATION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76FC" w14:textId="406E8070" w:rsidR="00590190" w:rsidRDefault="00590190" w:rsidP="00590190">
    <w:pPr>
      <w:pStyle w:val="Header"/>
      <w:jc w:val="right"/>
    </w:pPr>
    <w:r>
      <w:rPr>
        <w:noProof/>
      </w:rPr>
      <w:drawing>
        <wp:inline distT="0" distB="0" distL="0" distR="0" wp14:anchorId="3F62FF8A" wp14:editId="08E261AD">
          <wp:extent cx="1778400" cy="597600"/>
          <wp:effectExtent l="0" t="0" r="0" b="0"/>
          <wp:docPr id="552477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8400" cy="597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972B60"/>
    <w:multiLevelType w:val="multilevel"/>
    <w:tmpl w:val="64EA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7323B"/>
    <w:multiLevelType w:val="multilevel"/>
    <w:tmpl w:val="906C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E6B0B"/>
    <w:multiLevelType w:val="multilevel"/>
    <w:tmpl w:val="91A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219267">
    <w:abstractNumId w:val="8"/>
  </w:num>
  <w:num w:numId="2" w16cid:durableId="993609234">
    <w:abstractNumId w:val="6"/>
  </w:num>
  <w:num w:numId="3" w16cid:durableId="801532931">
    <w:abstractNumId w:val="5"/>
  </w:num>
  <w:num w:numId="4" w16cid:durableId="21250211">
    <w:abstractNumId w:val="4"/>
  </w:num>
  <w:num w:numId="5" w16cid:durableId="352193669">
    <w:abstractNumId w:val="7"/>
  </w:num>
  <w:num w:numId="6" w16cid:durableId="327558729">
    <w:abstractNumId w:val="3"/>
  </w:num>
  <w:num w:numId="7" w16cid:durableId="2012292291">
    <w:abstractNumId w:val="2"/>
  </w:num>
  <w:num w:numId="8" w16cid:durableId="2090299086">
    <w:abstractNumId w:val="1"/>
  </w:num>
  <w:num w:numId="9" w16cid:durableId="121727604">
    <w:abstractNumId w:val="0"/>
  </w:num>
  <w:num w:numId="10" w16cid:durableId="2104644579">
    <w:abstractNumId w:val="9"/>
  </w:num>
  <w:num w:numId="11" w16cid:durableId="650255426">
    <w:abstractNumId w:val="11"/>
  </w:num>
  <w:num w:numId="12" w16cid:durableId="15235452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F01"/>
    <w:rsid w:val="0006063C"/>
    <w:rsid w:val="00062474"/>
    <w:rsid w:val="0013383E"/>
    <w:rsid w:val="001478F3"/>
    <w:rsid w:val="0015074B"/>
    <w:rsid w:val="001F74CE"/>
    <w:rsid w:val="002421DD"/>
    <w:rsid w:val="002532F9"/>
    <w:rsid w:val="0029639D"/>
    <w:rsid w:val="00326F90"/>
    <w:rsid w:val="00327848"/>
    <w:rsid w:val="00380FDD"/>
    <w:rsid w:val="00392E32"/>
    <w:rsid w:val="003B707F"/>
    <w:rsid w:val="00460402"/>
    <w:rsid w:val="00472AD9"/>
    <w:rsid w:val="00545038"/>
    <w:rsid w:val="005457F7"/>
    <w:rsid w:val="005646D3"/>
    <w:rsid w:val="005778CE"/>
    <w:rsid w:val="00590190"/>
    <w:rsid w:val="005A266E"/>
    <w:rsid w:val="00603C6E"/>
    <w:rsid w:val="00871392"/>
    <w:rsid w:val="00AA161C"/>
    <w:rsid w:val="00AA1D8D"/>
    <w:rsid w:val="00AA3853"/>
    <w:rsid w:val="00B32539"/>
    <w:rsid w:val="00B33BF9"/>
    <w:rsid w:val="00B47730"/>
    <w:rsid w:val="00B57FE9"/>
    <w:rsid w:val="00BB1BCB"/>
    <w:rsid w:val="00C74E0E"/>
    <w:rsid w:val="00CB0664"/>
    <w:rsid w:val="00D40577"/>
    <w:rsid w:val="00DB4775"/>
    <w:rsid w:val="00F148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52A56E"/>
  <w14:defaultImageDpi w14:val="300"/>
  <w15:docId w15:val="{7B71FFD4-C9BB-45DD-8DE2-12EA3385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7" w:lineRule="auto"/>
    </w:pPr>
    <w:rPr>
      <w:rFonts w:ascii="Aptos" w:eastAsia="Aptos" w:hAnsi="Aptos"/>
      <w:color w:val="24343B"/>
      <w:sz w:val="19"/>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color w:val="123E52"/>
      <w:sz w:val="34"/>
      <w:szCs w:val="28"/>
    </w:rPr>
  </w:style>
  <w:style w:type="paragraph" w:styleId="Heading2">
    <w:name w:val="heading 2"/>
    <w:basedOn w:val="Normal"/>
    <w:next w:val="Normal"/>
    <w:link w:val="Heading2Char"/>
    <w:uiPriority w:val="9"/>
    <w:unhideWhenUsed/>
    <w:qFormat/>
    <w:rsid w:val="00590190"/>
    <w:pPr>
      <w:keepNext/>
      <w:keepLines/>
      <w:spacing w:before="180"/>
      <w:outlineLvl w:val="1"/>
    </w:pPr>
    <w:rPr>
      <w:rFonts w:asciiTheme="majorHAnsi" w:eastAsiaTheme="majorEastAsia" w:hAnsiTheme="majorHAnsi" w:cstheme="majorBidi"/>
      <w:b/>
      <w:bCs/>
      <w:color w:val="5F497A" w:themeColor="accent4" w:themeShade="BF"/>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23E5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0190"/>
    <w:rPr>
      <w:rFonts w:asciiTheme="majorHAnsi" w:eastAsiaTheme="majorEastAsia" w:hAnsiTheme="majorHAnsi" w:cstheme="majorBidi"/>
      <w:b/>
      <w:bCs/>
      <w:color w:val="5F497A" w:themeColor="accent4" w:themeShade="BF"/>
      <w:sz w:val="25"/>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9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8"/>
    </w:rPr>
  </w:style>
  <w:style w:type="paragraph" w:styleId="ListBullet2">
    <w:name w:val="List Bullet 2"/>
    <w:basedOn w:val="Normal"/>
    <w:uiPriority w:val="99"/>
    <w:unhideWhenUsed/>
    <w:rsid w:val="00326F90"/>
    <w:pPr>
      <w:numPr>
        <w:numId w:val="2"/>
      </w:numPr>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line="240" w:lineRule="auto"/>
      <w:ind w:left="312" w:hanging="312"/>
    </w:pPr>
    <w:rPr>
      <w:rFonts w:ascii="Aptos" w:eastAsia="Aptos" w:hAnsi="Aptos"/>
      <w:color w:val="24343B"/>
      <w:sz w:val="17"/>
    </w:rPr>
  </w:style>
  <w:style w:type="paragraph" w:styleId="Revision">
    <w:name w:val="Revision"/>
    <w:hidden/>
    <w:uiPriority w:val="99"/>
    <w:semiHidden/>
    <w:rsid w:val="00871392"/>
    <w:pPr>
      <w:spacing w:after="0" w:line="240" w:lineRule="auto"/>
    </w:pPr>
    <w:rPr>
      <w:rFonts w:ascii="Aptos" w:eastAsia="Aptos" w:hAnsi="Aptos"/>
      <w:color w:val="24343B"/>
      <w:sz w:val="19"/>
    </w:rPr>
  </w:style>
  <w:style w:type="character" w:styleId="CommentReference">
    <w:name w:val="annotation reference"/>
    <w:basedOn w:val="DefaultParagraphFont"/>
    <w:uiPriority w:val="99"/>
    <w:semiHidden/>
    <w:unhideWhenUsed/>
    <w:rsid w:val="00871392"/>
    <w:rPr>
      <w:sz w:val="16"/>
      <w:szCs w:val="16"/>
    </w:rPr>
  </w:style>
  <w:style w:type="paragraph" w:styleId="CommentText">
    <w:name w:val="annotation text"/>
    <w:basedOn w:val="Normal"/>
    <w:link w:val="CommentTextChar"/>
    <w:uiPriority w:val="99"/>
    <w:unhideWhenUsed/>
    <w:rsid w:val="00871392"/>
    <w:pPr>
      <w:spacing w:line="240" w:lineRule="auto"/>
    </w:pPr>
    <w:rPr>
      <w:sz w:val="20"/>
      <w:szCs w:val="20"/>
    </w:rPr>
  </w:style>
  <w:style w:type="character" w:customStyle="1" w:styleId="CommentTextChar">
    <w:name w:val="Comment Text Char"/>
    <w:basedOn w:val="DefaultParagraphFont"/>
    <w:link w:val="CommentText"/>
    <w:uiPriority w:val="99"/>
    <w:rsid w:val="00871392"/>
    <w:rPr>
      <w:rFonts w:ascii="Aptos" w:eastAsia="Aptos" w:hAnsi="Aptos"/>
      <w:color w:val="24343B"/>
      <w:sz w:val="20"/>
      <w:szCs w:val="20"/>
    </w:rPr>
  </w:style>
  <w:style w:type="paragraph" w:styleId="CommentSubject">
    <w:name w:val="annotation subject"/>
    <w:basedOn w:val="CommentText"/>
    <w:next w:val="CommentText"/>
    <w:link w:val="CommentSubjectChar"/>
    <w:uiPriority w:val="99"/>
    <w:semiHidden/>
    <w:unhideWhenUsed/>
    <w:rsid w:val="00871392"/>
    <w:rPr>
      <w:b/>
      <w:bCs/>
    </w:rPr>
  </w:style>
  <w:style w:type="character" w:customStyle="1" w:styleId="CommentSubjectChar">
    <w:name w:val="Comment Subject Char"/>
    <w:basedOn w:val="CommentTextChar"/>
    <w:link w:val="CommentSubject"/>
    <w:uiPriority w:val="99"/>
    <w:semiHidden/>
    <w:rsid w:val="00871392"/>
    <w:rPr>
      <w:rFonts w:ascii="Aptos" w:eastAsia="Aptos" w:hAnsi="Aptos"/>
      <w:b/>
      <w:bCs/>
      <w:color w:val="24343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age.dss.gov.au/second-action-plan/" TargetMode="External"/><Relationship Id="rId13" Type="http://schemas.openxmlformats.org/officeDocument/2006/relationships/hyperlink" Target="https://www.vic.gov.au/sites/default/files/2019-12/Expert%20Advisory%20Committee%20on%20Perpetrator%20Interventions%20Final%20Report%20PDF.PDF" TargetMode="External"/><Relationship Id="rId18" Type="http://schemas.openxmlformats.org/officeDocument/2006/relationships/hyperlink" Target="https://bridges.monash.edu/articles/report/From_workplace_sabotage_to_embedded_supports_examining_the_impact_of_domestic_and_family_violence_across_Australian_workplaces/21268686"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nrows.org.au/publication/dfsv-interventions-migrant-refugee-men/" TargetMode="External"/><Relationship Id="rId17" Type="http://schemas.openxmlformats.org/officeDocument/2006/relationships/hyperlink" Target="https://aifs.gov.au/all-research/commissioned-reports/evaluation-pilot-legally-assisted-and-supported-family-dispute"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anrows.org.au/publication/the-role-of-mens-behaviour-change-programs-dfs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age.dss.gov.au/a-new-approach-to-programs-for-families-and-childr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ridges.monash.edu/articles/report/Engaging_in_Change_A_Victorian_study_of_perpetrator_program_attrition_and_participant_engagement_in_men_s_behaviour_change_programs/26046856" TargetMode="External"/><Relationship Id="rId23" Type="http://schemas.openxmlformats.org/officeDocument/2006/relationships/fontTable" Target="fontTable.xml"/><Relationship Id="rId10" Type="http://schemas.openxmlformats.org/officeDocument/2006/relationships/hyperlink" Target="https://www.dss.gov.au/national-plan-end-gender-based-violence/resource/national-plan-end-violence-against-women-and-children-2022-2032" TargetMode="External"/><Relationship Id="rId19" Type="http://schemas.openxmlformats.org/officeDocument/2006/relationships/hyperlink" Target="https://ntv.org.au/sector-resources/how-bis-can-support-your-work/" TargetMode="External"/><Relationship Id="rId4" Type="http://schemas.openxmlformats.org/officeDocument/2006/relationships/settings" Target="settings.xml"/><Relationship Id="rId9" Type="http://schemas.openxmlformats.org/officeDocument/2006/relationships/hyperlink" Target="https://www.ag.gov.au/families-and-marriage/publications/support-separating-families-review-family-relationships-services-program" TargetMode="External"/><Relationship Id="rId14" Type="http://schemas.openxmlformats.org/officeDocument/2006/relationships/hyperlink" Target="https://frsa.org.au/wp-content/uploads/2025/09/FRSA_member-mapping_202508_web.pdf" TargetMode="External"/><Relationship Id="rId22" Type="http://schemas.openxmlformats.org/officeDocument/2006/relationships/header" Target="header2.xml"/><Relationship Id="rId27"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E6B7BAA-A689-4738-B211-68DD132CCC00}"/>
</file>

<file path=customXml/itemProps3.xml><?xml version="1.0" encoding="utf-8"?>
<ds:datastoreItem xmlns:ds="http://schemas.openxmlformats.org/officeDocument/2006/customXml" ds:itemID="{2D23F6E7-4B4B-43D7-A62C-F1C8B8DCA377}"/>
</file>

<file path=customXml/itemProps4.xml><?xml version="1.0" encoding="utf-8"?>
<ds:datastoreItem xmlns:ds="http://schemas.openxmlformats.org/officeDocument/2006/customXml" ds:itemID="{A2D0238D-92D4-4AB1-816A-360626082A1B}"/>
</file>

<file path=docProps/app.xml><?xml version="1.0" encoding="utf-8"?>
<Properties xmlns="http://schemas.openxmlformats.org/officeDocument/2006/extended-properties" xmlns:vt="http://schemas.openxmlformats.org/officeDocument/2006/docPropsVTypes">
  <Template>Normal.dotm</Template>
  <TotalTime>1</TotalTime>
  <Pages>10</Pages>
  <Words>6107</Words>
  <Characters>34815</Characters>
  <Application>Microsoft Office Word</Application>
  <DocSecurity>4</DocSecurity>
  <Lines>290</Lines>
  <Paragraphs>81</Paragraphs>
  <ScaleCrop>false</ScaleCrop>
  <HeadingPairs>
    <vt:vector size="2" baseType="variant">
      <vt:variant>
        <vt:lpstr>Title</vt:lpstr>
      </vt:variant>
      <vt:variant>
        <vt:i4>1</vt:i4>
      </vt:variant>
    </vt:vector>
  </HeadingPairs>
  <TitlesOfParts>
    <vt:vector size="1" baseType="lpstr">
      <vt:lpstr>Relationship Matters Submission – Second Action Plan Consultation</vt:lpstr>
    </vt:vector>
  </TitlesOfParts>
  <Manager/>
  <Company/>
  <LinksUpToDate>false</LinksUpToDate>
  <CharactersWithSpaces>40841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 Matters Submission – Second Action Plan Consultation</dc:title>
  <dc:subject>National Plan to End Violence against Women and Children 2022-2032</dc:subject>
  <dc:creator>Relationship Matters</dc:creator>
  <cp:keywords>family violence, early intervention, family relationship services, MBCP, LAFDR, National Plan [SEC=OFFICIAL]</cp:keywords>
  <dc:description>Draft for review, July 2026</dc:description>
  <cp:lastModifiedBy>BROOME, Lily</cp:lastModifiedBy>
  <cp:revision>2</cp:revision>
  <dcterms:created xsi:type="dcterms:W3CDTF">2026-09-04T04:32:00Z</dcterms:created>
  <dcterms:modified xsi:type="dcterms:W3CDTF">2026-09-04T04:32:00Z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v=2024.1;a=SHA256;h=1EF7EE770FBE63DAECFBDC7B0507D972082433F7A8DDD362E0F2C1825AD9750F</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2026-07-31T05:42:06Z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2026-07-31T05:42:06Z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5d6d420e689240f89b7bcc068d42b5f9</vt:lpwstr>
  </property>
  <property fmtid="{D5CDD505-2E9C-101B-9397-08002B2CF9AE}" pid="24" name="PM_Originator_Hash_SHA1">
    <vt:lpwstr>E18412C130A09D4F0FD5765AE904AA2C86AC0FB7</vt:lpwstr>
  </property>
  <property fmtid="{D5CDD505-2E9C-101B-9397-08002B2CF9AE}" pid="25" name="PM_Originating_FileId">
    <vt:lpwstr>B57C6220DD354C288E209A478D67DF34</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F45C4D2325820C04D77915037BDBDB63FD29B152396DFB9398BDF1782546AD9A</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E752327846C83F7992611E6E2DD048A9</vt:lpwstr>
  </property>
  <property fmtid="{D5CDD505-2E9C-101B-9397-08002B2CF9AE}" pid="33" name="PM_Hash_Salt">
    <vt:lpwstr>819D8ED3A7C44B06374363875E6064FB</vt:lpwstr>
  </property>
  <property fmtid="{D5CDD505-2E9C-101B-9397-08002B2CF9AE}" pid="34" name="PM_Hash_SHA1">
    <vt:lpwstr>666F5DC0180888AAC5A7C97352D9FBD6C47AFEAD</vt:lpwstr>
  </property>
  <property fmtid="{D5CDD505-2E9C-101B-9397-08002B2CF9AE}" pid="35" name="ContentTypeId">
    <vt:lpwstr>0x010100FB7776D50AC9C9429F45CBB78018DFD0</vt:lpwstr>
  </property>
</Properties>
</file>