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776FF" w14:textId="372ED638" w:rsidR="0023679E" w:rsidRDefault="00490768">
      <w:pPr>
        <w:rPr>
          <w:b/>
          <w:bCs/>
        </w:rPr>
      </w:pPr>
      <w:r w:rsidRPr="00490768">
        <w:rPr>
          <w:b/>
          <w:bCs/>
        </w:rPr>
        <w:t>Seymour Family Violence Working Group</w:t>
      </w:r>
    </w:p>
    <w:p w14:paraId="291CDBC2" w14:textId="44DA4580" w:rsidR="00490768" w:rsidRDefault="00490768">
      <w:pPr>
        <w:rPr>
          <w:b/>
          <w:bCs/>
        </w:rPr>
      </w:pPr>
      <w:r w:rsidRPr="00490768">
        <w:rPr>
          <w:b/>
          <w:bCs/>
        </w:rPr>
        <w:t>Feedback for Priority Area 1: Victim-survivors</w:t>
      </w:r>
    </w:p>
    <w:p w14:paraId="76727CFD" w14:textId="559E8745" w:rsidR="00490768" w:rsidRDefault="00490768" w:rsidP="00490768">
      <w:r>
        <w:t xml:space="preserve">Victim-survivors often enter the family violence system through community, education, housing, health and child and family services rather than specialist family violence services. These ‘soft entry points’ are critical because they are trusted environments where people disclose concerns before reaching crisis point. However, these services are not consistently recognised, resourced or connected as part of the broader family violence response system. </w:t>
      </w:r>
    </w:p>
    <w:p w14:paraId="2131F4C4" w14:textId="77777777" w:rsidR="00490768" w:rsidRDefault="00490768" w:rsidP="00490768">
      <w:r>
        <w:t>The biggest difference to victim-survivor safety, wellbeing and recovery would be:</w:t>
      </w:r>
    </w:p>
    <w:p w14:paraId="1487CA9D" w14:textId="77777777" w:rsidR="00490768" w:rsidRDefault="00490768" w:rsidP="00490768">
      <w:r>
        <w:t>•</w:t>
      </w:r>
      <w:r>
        <w:tab/>
        <w:t>Earlier access to support through trusted community settings.</w:t>
      </w:r>
    </w:p>
    <w:p w14:paraId="3874A07C" w14:textId="77777777" w:rsidR="00490768" w:rsidRDefault="00490768" w:rsidP="00490768">
      <w:r>
        <w:t>•</w:t>
      </w:r>
      <w:r>
        <w:tab/>
        <w:t>Better integration between legal, family violence, housing and financial support services.</w:t>
      </w:r>
    </w:p>
    <w:p w14:paraId="6D3D7868" w14:textId="77777777" w:rsidR="00490768" w:rsidRDefault="00490768" w:rsidP="00490768">
      <w:r>
        <w:t>•</w:t>
      </w:r>
      <w:r>
        <w:tab/>
        <w:t>Timely access to legal assistance at the earliest opportunity, recognising that many victim-survivors first seek help for practical legal issues such as intervention orders, tenancy, debt, child arrangements or family law before identifying themselves as experiencing family violence.</w:t>
      </w:r>
    </w:p>
    <w:p w14:paraId="6A4112EF" w14:textId="77777777" w:rsidR="00490768" w:rsidRDefault="00490768" w:rsidP="00490768">
      <w:r>
        <w:t>•</w:t>
      </w:r>
      <w:r>
        <w:tab/>
        <w:t>Reduced wait times for family violence case management and specialist support.</w:t>
      </w:r>
    </w:p>
    <w:p w14:paraId="5D803D0E" w14:textId="77777777" w:rsidR="00490768" w:rsidRDefault="00490768" w:rsidP="00490768">
      <w:r>
        <w:t>•</w:t>
      </w:r>
      <w:r>
        <w:tab/>
        <w:t>Improved access to safe and affordable housing.</w:t>
      </w:r>
    </w:p>
    <w:p w14:paraId="1BB320F3" w14:textId="77777777" w:rsidR="00490768" w:rsidRDefault="00490768" w:rsidP="00490768">
      <w:r>
        <w:t>•</w:t>
      </w:r>
      <w:r>
        <w:tab/>
        <w:t>Improved economic supports that reduce financial dependence on people using violence.</w:t>
      </w:r>
    </w:p>
    <w:p w14:paraId="245429A2" w14:textId="3DB83DEE" w:rsidR="00490768" w:rsidRDefault="00490768" w:rsidP="00490768">
      <w:r>
        <w:t>•</w:t>
      </w:r>
      <w:r>
        <w:tab/>
        <w:t xml:space="preserve">Clearer and simpler service navigation pathways. </w:t>
      </w:r>
    </w:p>
    <w:p w14:paraId="3602D3E9" w14:textId="602CA176" w:rsidR="00490768" w:rsidRDefault="00490768" w:rsidP="00490768">
      <w:r>
        <w:t>Victim-survivors frequently experience system fragmentation, are required to repeat their story multiple times and receive inconsistent advice regarding legal processes, funding pathways and service eligibility. Simplifying navigation across systems such as The Orange Door, Flexible Support Packages (FSP), Personal Safety Initiatives (PSI) and legal services would significantly improve outcomes. Greater consistency between state and federal legal systems is also required, particularly where victim-survivors are navigating family violence intervention orders alongside parenting proceedings in the federal family law system.</w:t>
      </w:r>
    </w:p>
    <w:p w14:paraId="25885E26" w14:textId="77777777" w:rsidR="00490768" w:rsidRDefault="00490768" w:rsidP="00490768">
      <w:r>
        <w:t xml:space="preserve">Emerging issues requiring greater focus include coercive control, technology-facilitated abuse, surveillance through devices and social media, and continued risks associated with family law proceedings and post-separation abuse. These issues often persist even when no recent incidents have been reported and require more sophisticated risk assessment approaches. </w:t>
      </w:r>
    </w:p>
    <w:p w14:paraId="5E35A612" w14:textId="77777777" w:rsidR="00490768" w:rsidRDefault="00490768" w:rsidP="00490768">
      <w:r>
        <w:lastRenderedPageBreak/>
        <w:t>There is also a need for more place-based and community-led responses in regional communities where service systems may be more fragmented and where family and community networks influence help-seeking behaviours.</w:t>
      </w:r>
    </w:p>
    <w:p w14:paraId="2EE86DE0" w14:textId="08AB34C5" w:rsidR="00490768" w:rsidRPr="00490768" w:rsidRDefault="00490768" w:rsidP="00490768">
      <w:pPr>
        <w:rPr>
          <w:b/>
          <w:bCs/>
        </w:rPr>
      </w:pPr>
      <w:r w:rsidRPr="00490768">
        <w:rPr>
          <w:b/>
          <w:bCs/>
        </w:rPr>
        <w:t>Feedback for Priority Area 2: Prevention and early intervention</w:t>
      </w:r>
    </w:p>
    <w:p w14:paraId="41F47101" w14:textId="2B140DE9" w:rsidR="00490768" w:rsidRDefault="00490768" w:rsidP="00490768">
      <w:r>
        <w:t xml:space="preserve">The strongest feedback from our work is that prevention must begin much earlier and extend beyond specialist family violence services. Schools, youth services, community organisations, sporting clubs and other community settings all have a critical role in prevention and early identification. </w:t>
      </w:r>
    </w:p>
    <w:p w14:paraId="6D0D4B37" w14:textId="3B665ACB" w:rsidR="00490768" w:rsidRDefault="00490768" w:rsidP="00490768">
      <w:r>
        <w:t>Prevention also depends on building the confidence and capability of universal services, including GPs, schools, maternal and child health services, sporting clubs, neighbourhood houses and employers, to recognise early indicators of family violence and respond safely through appropriate referrals.</w:t>
      </w:r>
    </w:p>
    <w:p w14:paraId="320B65F5" w14:textId="77777777" w:rsidR="00490768" w:rsidRDefault="00490768" w:rsidP="00490768">
      <w:r>
        <w:t>The most significant opportunities to prevent violence include:</w:t>
      </w:r>
    </w:p>
    <w:p w14:paraId="7A532DE9" w14:textId="77777777" w:rsidR="00490768" w:rsidRDefault="00490768" w:rsidP="00490768">
      <w:r>
        <w:t>•</w:t>
      </w:r>
      <w:r>
        <w:tab/>
        <w:t>Investing in respectful relationships education.</w:t>
      </w:r>
    </w:p>
    <w:p w14:paraId="64152F8A" w14:textId="77777777" w:rsidR="00490768" w:rsidRDefault="00490768" w:rsidP="00490768">
      <w:r>
        <w:t>•</w:t>
      </w:r>
      <w:r>
        <w:tab/>
        <w:t>Strengthening youth engagement and help-seeking pathways.</w:t>
      </w:r>
    </w:p>
    <w:p w14:paraId="1BCDB08E" w14:textId="77777777" w:rsidR="00490768" w:rsidRDefault="00490768" w:rsidP="00490768">
      <w:r>
        <w:t>•</w:t>
      </w:r>
      <w:r>
        <w:tab/>
        <w:t>Expanding community education initiatives.</w:t>
      </w:r>
    </w:p>
    <w:p w14:paraId="3CFAEEE2" w14:textId="77777777" w:rsidR="00490768" w:rsidRDefault="00490768" w:rsidP="00490768">
      <w:r>
        <w:t>•</w:t>
      </w:r>
      <w:r>
        <w:tab/>
        <w:t>Building family violence capability within adjacent systems.</w:t>
      </w:r>
    </w:p>
    <w:p w14:paraId="1F5904DD" w14:textId="60B5EB98" w:rsidR="00490768" w:rsidRDefault="00490768" w:rsidP="00490768">
      <w:r>
        <w:t>•</w:t>
      </w:r>
      <w:r>
        <w:tab/>
        <w:t xml:space="preserve">Supporting community-led prevention activities. </w:t>
      </w:r>
    </w:p>
    <w:p w14:paraId="351C4D42" w14:textId="77777777" w:rsidR="00490768" w:rsidRDefault="00490768" w:rsidP="00490768">
      <w:r>
        <w:t xml:space="preserve">Place-based approaches are particularly promising because they allow communities to coordinate local responses, identify emerging issues and tailor prevention activities to local needs. The Seymour Family Violence Working Group demonstrates how local partnerships can improve collaboration, service awareness and cross-sector learning. </w:t>
      </w:r>
    </w:p>
    <w:p w14:paraId="5AF91F57" w14:textId="3E1C1BDB" w:rsidR="00490768" w:rsidRDefault="00490768" w:rsidP="00490768">
      <w:r>
        <w:t xml:space="preserve">Prevention efforts should also address the growing influence of social media, online misogyny, technology-facilitated abuse, coercive control and harmful relationship norms among young people. </w:t>
      </w:r>
    </w:p>
    <w:p w14:paraId="49B3070C" w14:textId="57658124" w:rsidR="00490768" w:rsidRDefault="00490768" w:rsidP="00490768">
      <w:r>
        <w:t>Prevention initiatives should continue engaging men and boys as partners in challenging harmful gender norms and promoting respectful relationships.</w:t>
      </w:r>
    </w:p>
    <w:p w14:paraId="45C1FCC6" w14:textId="77777777" w:rsidR="00490768" w:rsidRDefault="00490768" w:rsidP="00490768">
      <w:r>
        <w:t>Governments should continue investing in schools and youth-focused prevention programs while strengthening links between education settings, community services and family violence services.</w:t>
      </w:r>
    </w:p>
    <w:p w14:paraId="4C78A46C" w14:textId="7AA66A56" w:rsidR="00490768" w:rsidRPr="00490768" w:rsidRDefault="00490768" w:rsidP="00490768">
      <w:pPr>
        <w:rPr>
          <w:b/>
          <w:bCs/>
        </w:rPr>
      </w:pPr>
      <w:r w:rsidRPr="00490768">
        <w:rPr>
          <w:b/>
          <w:bCs/>
        </w:rPr>
        <w:t>Feedback for Priority Area 3: Children and young people in their own right</w:t>
      </w:r>
    </w:p>
    <w:p w14:paraId="5D509403" w14:textId="5D4A5615" w:rsidR="00490768" w:rsidRDefault="00490768" w:rsidP="00490768">
      <w:r>
        <w:t xml:space="preserve">Children and young people should be recognised as victim-survivors </w:t>
      </w:r>
      <w:proofErr w:type="gramStart"/>
      <w:r>
        <w:t>in their own right rather</w:t>
      </w:r>
      <w:proofErr w:type="gramEnd"/>
      <w:r>
        <w:t xml:space="preserve"> than solely as witnesses to violence experienced by adults. The family violence service system should ensure children have access to age-appropriate therapeutic </w:t>
      </w:r>
      <w:r>
        <w:lastRenderedPageBreak/>
        <w:t xml:space="preserve">responses, recovery supports and opportunities to have their experiences heard and understood. </w:t>
      </w:r>
    </w:p>
    <w:p w14:paraId="774B0F21" w14:textId="77777777" w:rsidR="00490768" w:rsidRDefault="00490768" w:rsidP="00490768">
      <w:r>
        <w:t>The most important improvements would include:</w:t>
      </w:r>
    </w:p>
    <w:p w14:paraId="15904F3D" w14:textId="77777777" w:rsidR="00490768" w:rsidRDefault="00490768" w:rsidP="00490768">
      <w:r>
        <w:t>•</w:t>
      </w:r>
      <w:r>
        <w:tab/>
        <w:t>Earlier identification through schools and youth services.</w:t>
      </w:r>
    </w:p>
    <w:p w14:paraId="5C3CA083" w14:textId="77777777" w:rsidR="00490768" w:rsidRDefault="00490768" w:rsidP="00490768">
      <w:r>
        <w:t>•</w:t>
      </w:r>
      <w:r>
        <w:tab/>
        <w:t>Child-centred therapeutic supports.</w:t>
      </w:r>
    </w:p>
    <w:p w14:paraId="1CE6BB20" w14:textId="77777777" w:rsidR="00490768" w:rsidRDefault="00490768" w:rsidP="00490768">
      <w:r>
        <w:t>•</w:t>
      </w:r>
      <w:r>
        <w:tab/>
        <w:t>Improved pathways for young people to access help independently.</w:t>
      </w:r>
    </w:p>
    <w:p w14:paraId="1B0FC3FE" w14:textId="07D552C0" w:rsidR="00490768" w:rsidRDefault="00490768" w:rsidP="00490768">
      <w:r>
        <w:t>•</w:t>
      </w:r>
      <w:r>
        <w:tab/>
        <w:t xml:space="preserve">Better integration between family violence, education, mental health and child wellbeing systems. </w:t>
      </w:r>
    </w:p>
    <w:p w14:paraId="69A65296" w14:textId="1DD4518A" w:rsidR="00490768" w:rsidRDefault="00490768" w:rsidP="00490768">
      <w:r>
        <w:t>Our local discussions highlighted the need for youth-friendly information and support pathways, particularly for young people affected by family violence who may not seek help through traditional service systems. Work underway to improve youth-focused resource materials demonstrates the need for more direct, accessible and safe pathways for young people. Children should not lose access to therapeutic support simply because the immediate crisis has ended. Recovery from family violence is often long-term and requires sustained investment beyond crisis responses.</w:t>
      </w:r>
    </w:p>
    <w:p w14:paraId="24111753" w14:textId="7548E10A" w:rsidR="00490768" w:rsidRDefault="00490768" w:rsidP="00490768">
      <w:r>
        <w:t xml:space="preserve">The Second Action Plan should also recognise emerging harms including technology-facilitated abuse, peer violence, dating violence and harmful online content. Young people need support to navigate increasingly complex online and social environments. </w:t>
      </w:r>
    </w:p>
    <w:p w14:paraId="76FC1464" w14:textId="77777777" w:rsidR="00490768" w:rsidRDefault="00490768" w:rsidP="00490768">
      <w:r>
        <w:t>Young people should be actively involved in shaping the services, information resources and programs intended to support them.</w:t>
      </w:r>
    </w:p>
    <w:p w14:paraId="0C35CC3F" w14:textId="3D6560D0" w:rsidR="00490768" w:rsidRPr="00490768" w:rsidRDefault="00490768" w:rsidP="00490768">
      <w:pPr>
        <w:rPr>
          <w:b/>
          <w:bCs/>
        </w:rPr>
      </w:pPr>
      <w:r w:rsidRPr="00490768">
        <w:rPr>
          <w:b/>
          <w:bCs/>
        </w:rPr>
        <w:t>Feedback for Priority Area 4: People who use violence</w:t>
      </w:r>
    </w:p>
    <w:p w14:paraId="4AF50916" w14:textId="3FA731FF" w:rsidR="00490768" w:rsidRDefault="00490768" w:rsidP="00490768">
      <w:r>
        <w:t xml:space="preserve">The system should place greater emphasis on earlier intervention with people who use violence, while maintaining a primary focus on victim-survivor safety and accountability. Families, schools, workplaces, community organisations and service providers all have a role in recognising concerning behaviours earlier and connecting individuals to appropriate supports. </w:t>
      </w:r>
    </w:p>
    <w:p w14:paraId="356A667D" w14:textId="77777777" w:rsidR="00490768" w:rsidRDefault="00490768" w:rsidP="00490768">
      <w:r>
        <w:t>Interventions should focus on:</w:t>
      </w:r>
    </w:p>
    <w:p w14:paraId="4DEA868D" w14:textId="77777777" w:rsidR="00490768" w:rsidRDefault="00490768" w:rsidP="00490768">
      <w:r>
        <w:t>•</w:t>
      </w:r>
      <w:r>
        <w:tab/>
        <w:t>Accountability for behaviour.</w:t>
      </w:r>
    </w:p>
    <w:p w14:paraId="3938B174" w14:textId="77777777" w:rsidR="00490768" w:rsidRDefault="00490768" w:rsidP="00490768">
      <w:r>
        <w:t>•</w:t>
      </w:r>
      <w:r>
        <w:tab/>
        <w:t>Behaviour change.</w:t>
      </w:r>
    </w:p>
    <w:p w14:paraId="4EFC8E00" w14:textId="77777777" w:rsidR="00490768" w:rsidRDefault="00490768" w:rsidP="00490768">
      <w:r>
        <w:t>•</w:t>
      </w:r>
      <w:r>
        <w:tab/>
        <w:t>Understanding patterns of coercive control.</w:t>
      </w:r>
    </w:p>
    <w:p w14:paraId="49E06E31" w14:textId="77777777" w:rsidR="00490768" w:rsidRDefault="00490768" w:rsidP="00490768">
      <w:r>
        <w:t>•</w:t>
      </w:r>
      <w:r>
        <w:tab/>
        <w:t>Addressing technology-facilitated abuse.</w:t>
      </w:r>
    </w:p>
    <w:p w14:paraId="33F9FE17" w14:textId="5695B276" w:rsidR="00490768" w:rsidRDefault="00490768" w:rsidP="00490768">
      <w:r>
        <w:t>•</w:t>
      </w:r>
      <w:r>
        <w:tab/>
        <w:t xml:space="preserve">Responding before violence escalates. </w:t>
      </w:r>
    </w:p>
    <w:p w14:paraId="18957E57" w14:textId="77777777" w:rsidR="00490768" w:rsidRDefault="00490768" w:rsidP="00490768">
      <w:r>
        <w:lastRenderedPageBreak/>
        <w:t xml:space="preserve">Regional communities require access to evidence-informed responses for people using violence. </w:t>
      </w:r>
      <w:proofErr w:type="gramStart"/>
      <w:r>
        <w:t>Particular attention</w:t>
      </w:r>
      <w:proofErr w:type="gramEnd"/>
      <w:r>
        <w:t xml:space="preserve"> should be given to ensuring programs are available outside metropolitan centres, with pathways integrated into broader community and justice systems. </w:t>
      </w:r>
    </w:p>
    <w:p w14:paraId="188720D9" w14:textId="47EC3687" w:rsidR="00490768" w:rsidRDefault="00490768" w:rsidP="00490768">
      <w:r>
        <w:t>Earlier intervention opportunities should not rely solely on the justice system. Health services, alcohol and other drug services, mental health services, workplaces and community organisations should be supported to recognise patterns of coercive control and facilitate safe referral pathways before violence escalates.</w:t>
      </w:r>
    </w:p>
    <w:p w14:paraId="40A926CD" w14:textId="77777777" w:rsidR="00490768" w:rsidRDefault="00490768" w:rsidP="00490768">
      <w:r>
        <w:t>The Working Group's experience highlights the importance of coordinated responses involving police, courts, family violence services and behavioural change services rather than expecting individual systems to respond in isolation. Accountability measures should complement, rather than replace, meaningful opportunities for behaviour change, recognising that long-term community safety depends on reducing the risk of future violence.</w:t>
      </w:r>
    </w:p>
    <w:p w14:paraId="0D0043F4" w14:textId="3F834CA2" w:rsidR="00490768" w:rsidRPr="00490768" w:rsidRDefault="00490768" w:rsidP="00490768">
      <w:pPr>
        <w:rPr>
          <w:b/>
          <w:bCs/>
        </w:rPr>
      </w:pPr>
      <w:r w:rsidRPr="00490768">
        <w:rPr>
          <w:b/>
          <w:bCs/>
        </w:rPr>
        <w:t>Feedback for Priority Area 5: System Integration and Workforce</w:t>
      </w:r>
    </w:p>
    <w:p w14:paraId="1554A2F6" w14:textId="36E5126A" w:rsidR="00490768" w:rsidRDefault="00490768" w:rsidP="00490768">
      <w:r>
        <w:t xml:space="preserve">System integration is the strongest and most consistent theme emerging from our community consultation and local service collaboration. Victim-survivors already interact with multiple systems, but those systems are often disconnected, difficult to navigate and inconsistent in their responses. </w:t>
      </w:r>
    </w:p>
    <w:p w14:paraId="7164E916" w14:textId="139C7CA9" w:rsidR="00490768" w:rsidRDefault="00490768" w:rsidP="00490768">
      <w:r>
        <w:t>The biggest opportunity for improvement is investment in place-based coordination structures that bring together specialist family violence services, legal services, police, education, housing, child and family services and community organisations. Community legal services should be recognised as core partners within integrated family violence responses, not simply referral destinations. Their involvement supports earlier legal intervention, integrated risk management and more holistic outcomes for victim-survivors.</w:t>
      </w:r>
    </w:p>
    <w:p w14:paraId="474EDCD0" w14:textId="77777777" w:rsidR="00490768" w:rsidRDefault="00490768" w:rsidP="00490768">
      <w:r>
        <w:t>Effective approaches include:</w:t>
      </w:r>
    </w:p>
    <w:p w14:paraId="377A0017" w14:textId="77777777" w:rsidR="00490768" w:rsidRDefault="00490768" w:rsidP="00490768">
      <w:r>
        <w:t>•</w:t>
      </w:r>
      <w:r>
        <w:tab/>
        <w:t>Local cross-sector working groups.</w:t>
      </w:r>
    </w:p>
    <w:p w14:paraId="5E6234BE" w14:textId="77777777" w:rsidR="00490768" w:rsidRDefault="00490768" w:rsidP="00490768">
      <w:r>
        <w:t>•</w:t>
      </w:r>
      <w:r>
        <w:tab/>
        <w:t>Joint training initiatives.</w:t>
      </w:r>
    </w:p>
    <w:p w14:paraId="788E3450" w14:textId="77777777" w:rsidR="00490768" w:rsidRDefault="00490768" w:rsidP="00490768">
      <w:r>
        <w:t>•</w:t>
      </w:r>
      <w:r>
        <w:tab/>
        <w:t>Shared referral pathways.</w:t>
      </w:r>
    </w:p>
    <w:p w14:paraId="0279D25C" w14:textId="77777777" w:rsidR="00490768" w:rsidRDefault="00490768" w:rsidP="00490768">
      <w:r>
        <w:t>•</w:t>
      </w:r>
      <w:r>
        <w:tab/>
        <w:t>Warm referral processes.</w:t>
      </w:r>
    </w:p>
    <w:p w14:paraId="1687B91D" w14:textId="77777777" w:rsidR="00490768" w:rsidRDefault="00490768" w:rsidP="00490768">
      <w:r>
        <w:t>•</w:t>
      </w:r>
      <w:r>
        <w:tab/>
        <w:t>Service familiarisation activities.</w:t>
      </w:r>
    </w:p>
    <w:p w14:paraId="65458094" w14:textId="75672A3F" w:rsidR="00490768" w:rsidRDefault="00490768" w:rsidP="00490768">
      <w:r>
        <w:t>•</w:t>
      </w:r>
      <w:r>
        <w:tab/>
        <w:t xml:space="preserve">Cross-sector capability building. </w:t>
      </w:r>
    </w:p>
    <w:p w14:paraId="00CA6B04" w14:textId="11CC9E56" w:rsidR="00490768" w:rsidRDefault="00490768" w:rsidP="00490768">
      <w:r>
        <w:lastRenderedPageBreak/>
        <w:t xml:space="preserve">Workforce challenges continue to impact service quality and access. Regional areas face </w:t>
      </w:r>
      <w:proofErr w:type="gramStart"/>
      <w:r>
        <w:t>particular difficulties</w:t>
      </w:r>
      <w:proofErr w:type="gramEnd"/>
      <w:r>
        <w:t xml:space="preserve"> attracting and retaining experienced staff. High turnover affects continuity of care, institutional knowledge and relationships between services.</w:t>
      </w:r>
    </w:p>
    <w:p w14:paraId="70781765" w14:textId="77777777" w:rsidR="00490768" w:rsidRDefault="00490768" w:rsidP="00490768">
      <w:r>
        <w:t>Priority workforce investments should include:</w:t>
      </w:r>
    </w:p>
    <w:p w14:paraId="4A267E92" w14:textId="77777777" w:rsidR="00490768" w:rsidRDefault="00490768" w:rsidP="00490768">
      <w:r>
        <w:t>•</w:t>
      </w:r>
      <w:r>
        <w:tab/>
        <w:t>Family violence capability across adjacent systems.</w:t>
      </w:r>
    </w:p>
    <w:p w14:paraId="41D2763D" w14:textId="77777777" w:rsidR="00490768" w:rsidRDefault="00490768" w:rsidP="00490768">
      <w:r>
        <w:t>•</w:t>
      </w:r>
      <w:r>
        <w:tab/>
        <w:t>Legal literacy training.</w:t>
      </w:r>
    </w:p>
    <w:p w14:paraId="420EDBC6" w14:textId="77777777" w:rsidR="00490768" w:rsidRDefault="00490768" w:rsidP="00490768">
      <w:r>
        <w:t>•</w:t>
      </w:r>
      <w:r>
        <w:tab/>
        <w:t>Trauma-informed practice.</w:t>
      </w:r>
    </w:p>
    <w:p w14:paraId="4F121E0F" w14:textId="77777777" w:rsidR="00490768" w:rsidRDefault="00490768" w:rsidP="00490768">
      <w:r>
        <w:t>•</w:t>
      </w:r>
      <w:r>
        <w:tab/>
        <w:t>Regional workforce recruitment and retention.</w:t>
      </w:r>
    </w:p>
    <w:p w14:paraId="05180B35" w14:textId="77777777" w:rsidR="00490768" w:rsidRDefault="00490768" w:rsidP="00490768">
      <w:r>
        <w:t>•</w:t>
      </w:r>
      <w:r>
        <w:tab/>
        <w:t>Ongoing professional development.</w:t>
      </w:r>
    </w:p>
    <w:p w14:paraId="75176497" w14:textId="71E30EFF" w:rsidR="00490768" w:rsidRDefault="00490768" w:rsidP="00490768">
      <w:r>
        <w:t>•</w:t>
      </w:r>
      <w:r>
        <w:tab/>
        <w:t xml:space="preserve">Dedicated capacity for collaboration and partnership work. </w:t>
      </w:r>
    </w:p>
    <w:p w14:paraId="0CC843DC" w14:textId="2EC350F6" w:rsidR="00490768" w:rsidRDefault="00490768" w:rsidP="00490768">
      <w:r>
        <w:t>Partnership and coordination activities are often expected to occur alongside core service delivery without dedicated funding. Sustainable collaboration requires investment in the workforce time needed to participate in local partnerships, joint planning, secondary consultation and cross-sector learning.</w:t>
      </w:r>
    </w:p>
    <w:p w14:paraId="00F6EA84" w14:textId="77777777" w:rsidR="00490768" w:rsidRDefault="00490768" w:rsidP="00490768">
      <w:r>
        <w:t>The Second Action Plan should support service integration by simplifying pathways, improving information sharing and recognising the significant role of schools, community organisations, housing services and other adjacent systems in responding to family violence.</w:t>
      </w:r>
    </w:p>
    <w:p w14:paraId="68FFE252" w14:textId="79F25BE7" w:rsidR="00490768" w:rsidRPr="00490768" w:rsidRDefault="00490768" w:rsidP="00490768">
      <w:pPr>
        <w:rPr>
          <w:b/>
          <w:bCs/>
        </w:rPr>
      </w:pPr>
      <w:r w:rsidRPr="00490768">
        <w:rPr>
          <w:b/>
          <w:bCs/>
        </w:rPr>
        <w:t>Are there any other actions you think should be a priority to stop family, domestic and sexual violence?</w:t>
      </w:r>
    </w:p>
    <w:p w14:paraId="2432D8EC" w14:textId="61BC99F0" w:rsidR="00490768" w:rsidRDefault="00490768" w:rsidP="00490768">
      <w:r>
        <w:t>The Second Action Plan should explicitly recognise place-based coordination as a system reform priority.</w:t>
      </w:r>
    </w:p>
    <w:p w14:paraId="4DB8AB87" w14:textId="77777777" w:rsidR="00490768" w:rsidRDefault="00490768" w:rsidP="00490768">
      <w:r>
        <w:t>Our experience demonstrates that local cross-sector structures create opportunities for:</w:t>
      </w:r>
    </w:p>
    <w:p w14:paraId="4099330F" w14:textId="77777777" w:rsidR="00490768" w:rsidRDefault="00490768" w:rsidP="00490768">
      <w:r>
        <w:t>•</w:t>
      </w:r>
      <w:r>
        <w:tab/>
        <w:t>Earlier intervention.</w:t>
      </w:r>
    </w:p>
    <w:p w14:paraId="50489832" w14:textId="77777777" w:rsidR="00490768" w:rsidRDefault="00490768" w:rsidP="00490768">
      <w:r>
        <w:t>•</w:t>
      </w:r>
      <w:r>
        <w:tab/>
        <w:t>Stronger referral pathways.</w:t>
      </w:r>
    </w:p>
    <w:p w14:paraId="0C039686" w14:textId="77777777" w:rsidR="00490768" w:rsidRDefault="00490768" w:rsidP="00490768">
      <w:r>
        <w:t>•</w:t>
      </w:r>
      <w:r>
        <w:tab/>
        <w:t>Better understanding of local service gaps.</w:t>
      </w:r>
    </w:p>
    <w:p w14:paraId="00B25CCA" w14:textId="77777777" w:rsidR="00490768" w:rsidRDefault="00490768" w:rsidP="00490768">
      <w:r>
        <w:t>•</w:t>
      </w:r>
      <w:r>
        <w:tab/>
        <w:t>More effective collaboration.</w:t>
      </w:r>
    </w:p>
    <w:p w14:paraId="559E5725" w14:textId="77777777" w:rsidR="00490768" w:rsidRDefault="00490768" w:rsidP="00490768">
      <w:r>
        <w:t>•</w:t>
      </w:r>
      <w:r>
        <w:tab/>
        <w:t>Shared professional learning.</w:t>
      </w:r>
    </w:p>
    <w:p w14:paraId="37768315" w14:textId="1B6A711E" w:rsidR="00490768" w:rsidRDefault="00490768" w:rsidP="00490768">
      <w:r>
        <w:t>•</w:t>
      </w:r>
      <w:r>
        <w:tab/>
        <w:t xml:space="preserve">Community-led problem solving. </w:t>
      </w:r>
    </w:p>
    <w:p w14:paraId="15D47F0E" w14:textId="5D825913" w:rsidR="00490768" w:rsidRDefault="00490768" w:rsidP="00490768">
      <w:r>
        <w:t xml:space="preserve">The Plan should also support practical initiatives that enable victim-survivors to remain safely connected to their homes and communities through integrated responses </w:t>
      </w:r>
      <w:r>
        <w:lastRenderedPageBreak/>
        <w:t xml:space="preserve">involving housing, financial supports, legal services, safety planning and practical security measures. </w:t>
      </w:r>
    </w:p>
    <w:p w14:paraId="6AD4FCEB" w14:textId="6CA00B30" w:rsidR="00490768" w:rsidRDefault="00490768" w:rsidP="00490768">
      <w:r>
        <w:t>Safe and affordable housing remains one of the greatest barriers to victim-survivors leaving violence. Legal protections and safety planning alone cannot achieve lasting safety where victim-survivors have no realistic housing options. Increased investment across the housing continuum, from crisis accommodation to long-term social and affordable housing, remains fundamental to reducing family violence.</w:t>
      </w:r>
    </w:p>
    <w:p w14:paraId="453C6590" w14:textId="52DA0FBF" w:rsidR="00490768" w:rsidRDefault="00490768" w:rsidP="00490768">
      <w:r>
        <w:t>The Second Action Plan should also support ongoing evaluation of place-based initiatives to identify successful local models that can be adapted and scaled across regional, rural and metropolitan communities while retaining flexibility to respond to local circumstances.</w:t>
      </w:r>
    </w:p>
    <w:p w14:paraId="66F8C7DE" w14:textId="615507CB" w:rsidR="00490768" w:rsidRPr="00490768" w:rsidRDefault="00490768" w:rsidP="00490768">
      <w:r>
        <w:t>Finally, national reforms should be informed by local evidence and community experience. Regional communities such as Seymour offer important insights into the challenges of service fragmentation, workforce shortages, system navigation and the benefits of coordinated place-based responses.</w:t>
      </w:r>
    </w:p>
    <w:sectPr w:rsidR="00490768" w:rsidRPr="004907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768"/>
    <w:rsid w:val="00022A23"/>
    <w:rsid w:val="0023679E"/>
    <w:rsid w:val="00490768"/>
    <w:rsid w:val="00990E86"/>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51645"/>
  <w15:chartTrackingRefBased/>
  <w15:docId w15:val="{88E3A62A-2FD5-4933-B0F9-8314D9639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7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07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07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07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07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07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07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07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07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7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07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07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07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07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07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07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07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0768"/>
    <w:rPr>
      <w:rFonts w:eastAsiaTheme="majorEastAsia" w:cstheme="majorBidi"/>
      <w:color w:val="272727" w:themeColor="text1" w:themeTint="D8"/>
    </w:rPr>
  </w:style>
  <w:style w:type="paragraph" w:styleId="Title">
    <w:name w:val="Title"/>
    <w:basedOn w:val="Normal"/>
    <w:next w:val="Normal"/>
    <w:link w:val="TitleChar"/>
    <w:uiPriority w:val="10"/>
    <w:qFormat/>
    <w:rsid w:val="004907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07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07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07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0768"/>
    <w:pPr>
      <w:spacing w:before="160"/>
      <w:jc w:val="center"/>
    </w:pPr>
    <w:rPr>
      <w:i/>
      <w:iCs/>
      <w:color w:val="404040" w:themeColor="text1" w:themeTint="BF"/>
    </w:rPr>
  </w:style>
  <w:style w:type="character" w:customStyle="1" w:styleId="QuoteChar">
    <w:name w:val="Quote Char"/>
    <w:basedOn w:val="DefaultParagraphFont"/>
    <w:link w:val="Quote"/>
    <w:uiPriority w:val="29"/>
    <w:rsid w:val="00490768"/>
    <w:rPr>
      <w:i/>
      <w:iCs/>
      <w:color w:val="404040" w:themeColor="text1" w:themeTint="BF"/>
    </w:rPr>
  </w:style>
  <w:style w:type="paragraph" w:styleId="ListParagraph">
    <w:name w:val="List Paragraph"/>
    <w:basedOn w:val="Normal"/>
    <w:uiPriority w:val="34"/>
    <w:qFormat/>
    <w:rsid w:val="00490768"/>
    <w:pPr>
      <w:ind w:left="720"/>
      <w:contextualSpacing/>
    </w:pPr>
  </w:style>
  <w:style w:type="character" w:styleId="IntenseEmphasis">
    <w:name w:val="Intense Emphasis"/>
    <w:basedOn w:val="DefaultParagraphFont"/>
    <w:uiPriority w:val="21"/>
    <w:qFormat/>
    <w:rsid w:val="00490768"/>
    <w:rPr>
      <w:i/>
      <w:iCs/>
      <w:color w:val="0F4761" w:themeColor="accent1" w:themeShade="BF"/>
    </w:rPr>
  </w:style>
  <w:style w:type="paragraph" w:styleId="IntenseQuote">
    <w:name w:val="Intense Quote"/>
    <w:basedOn w:val="Normal"/>
    <w:next w:val="Normal"/>
    <w:link w:val="IntenseQuoteChar"/>
    <w:uiPriority w:val="30"/>
    <w:qFormat/>
    <w:rsid w:val="004907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0768"/>
    <w:rPr>
      <w:i/>
      <w:iCs/>
      <w:color w:val="0F4761" w:themeColor="accent1" w:themeShade="BF"/>
    </w:rPr>
  </w:style>
  <w:style w:type="character" w:styleId="IntenseReference">
    <w:name w:val="Intense Reference"/>
    <w:basedOn w:val="DefaultParagraphFont"/>
    <w:uiPriority w:val="32"/>
    <w:qFormat/>
    <w:rsid w:val="004907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F58D95-1187-4A49-89D7-0F37D6D5FC23}"/>
</file>

<file path=customXml/itemProps2.xml><?xml version="1.0" encoding="utf-8"?>
<ds:datastoreItem xmlns:ds="http://schemas.openxmlformats.org/officeDocument/2006/customXml" ds:itemID="{3DB9019D-02F2-48FB-825F-1EFEC59A4D02}"/>
</file>

<file path=customXml/itemProps3.xml><?xml version="1.0" encoding="utf-8"?>
<ds:datastoreItem xmlns:ds="http://schemas.openxmlformats.org/officeDocument/2006/customXml" ds:itemID="{0FFF145C-2F71-41AE-8A3D-AE08038BB1AC}"/>
</file>

<file path=docProps/app.xml><?xml version="1.0" encoding="utf-8"?>
<Properties xmlns="http://schemas.openxmlformats.org/officeDocument/2006/extended-properties" xmlns:vt="http://schemas.openxmlformats.org/officeDocument/2006/docPropsVTypes">
  <Template>Normal.dotm</Template>
  <TotalTime>5</TotalTime>
  <Pages>6</Pages>
  <Words>1749</Words>
  <Characters>9975</Characters>
  <Application>Microsoft Office Word</Application>
  <DocSecurity>0</DocSecurity>
  <Lines>83</Lines>
  <Paragraphs>23</Paragraphs>
  <ScaleCrop>false</ScaleCrop>
  <Company/>
  <LinksUpToDate>false</LinksUpToDate>
  <CharactersWithSpaces>11701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2026-09-03T03:08:00Z</dcterms:created>
  <dcterms:modified xsi:type="dcterms:W3CDTF">2026-09-03T03:13:00Z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