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6A5C" w14:textId="77777777" w:rsidR="00BB2ADB" w:rsidRPr="00BB2ADB" w:rsidRDefault="00BB2ADB" w:rsidP="00BB2ADB">
      <w:r w:rsidRPr="00BB2ADB">
        <w:rPr>
          <w:b/>
          <w:bCs/>
        </w:rPr>
        <w:t>Sport Integrity Australia Submission - Consultation on the Second Action Plan - National Plan to End Violence against Women and Children 2022–2032</w:t>
      </w:r>
    </w:p>
    <w:p w14:paraId="5EC9FC0C" w14:textId="77777777" w:rsidR="00BB2ADB" w:rsidRPr="00BB2ADB" w:rsidRDefault="00BB2ADB" w:rsidP="00BB2ADB">
      <w:r w:rsidRPr="00BB2ADB">
        <w:rPr>
          <w:b/>
          <w:bCs/>
        </w:rPr>
        <w:t> </w:t>
      </w:r>
    </w:p>
    <w:p w14:paraId="05D75425" w14:textId="77777777" w:rsidR="00BB2ADB" w:rsidRPr="00BB2ADB" w:rsidRDefault="00BB2ADB" w:rsidP="00BB2ADB">
      <w:r w:rsidRPr="00BB2ADB">
        <w:rPr>
          <w:b/>
          <w:bCs/>
        </w:rPr>
        <w:t>Introduction</w:t>
      </w:r>
    </w:p>
    <w:p w14:paraId="30C3C59E" w14:textId="77777777" w:rsidR="00BB2ADB" w:rsidRPr="00BB2ADB" w:rsidRDefault="00BB2ADB" w:rsidP="00BB2ADB">
      <w:r w:rsidRPr="00BB2ADB">
        <w:t>Sport Integrity Australia (SIA) welcomes the opportunity to contribute to consultation on the development of the Second Action Plan under the National Plan to End Violence against Women and Children 2022–2032.</w:t>
      </w:r>
    </w:p>
    <w:p w14:paraId="2CABFA73" w14:textId="39A7DC8B" w:rsidR="00BB2ADB" w:rsidRPr="00BB2ADB" w:rsidRDefault="00BB2ADB" w:rsidP="00BB2ADB">
      <w:r w:rsidRPr="00BB2ADB">
        <w:t xml:space="preserve">SIA supports the National Plan's recognition that ending violence against women and children requires a whole-of-society response that addresses the underlying drivers of violence, including gender inequality, harmful norms, power imbalances and systems that enable abuse. The National Plan identifies prevention, early intervention, response, and recovery and healing as interconnected pillars necessary to achieve generational change. </w:t>
      </w:r>
    </w:p>
    <w:p w14:paraId="7D1146D5" w14:textId="0372F864" w:rsidR="00BB2ADB" w:rsidRPr="00BB2ADB" w:rsidRDefault="00BB2ADB" w:rsidP="00BB2ADB">
      <w:r w:rsidRPr="00BB2ADB">
        <w:t>As Australia's national sport integrity agency, SIA sees significant untapped potential for organised sport to contribute to Australia's prevention agenda. Sport reaches millions of Australians throughout childhood, adolescence and adulthood and plays an influential role in shaping attitudes, behaviours, identity, leadership and social norms. Despite this reach, sport is not currently recognised as a dedicated prevention setting within the National Plan or associated action plans. SIA encourages consideration of sport as a national prevention setting and highlights opportunities to leverage existing systems, governance structures and partnerships to support implementation of the Second Action Plan. Importantly, the views outlined in this submission focus on practical integration with existing systems and cross-government collaboration, rather than the creation of new standalone programs or structures.</w:t>
      </w:r>
    </w:p>
    <w:p w14:paraId="1AD76533" w14:textId="77777777" w:rsidR="00BB2ADB" w:rsidRPr="00BB2ADB" w:rsidRDefault="00BB2ADB" w:rsidP="00BB2ADB">
      <w:r w:rsidRPr="00BB2ADB">
        <w:rPr>
          <w:b/>
          <w:bCs/>
        </w:rPr>
        <w:t>Recognition of Sport as a Prevention Setting</w:t>
      </w:r>
    </w:p>
    <w:p w14:paraId="545206E7" w14:textId="77777777" w:rsidR="00BB2ADB" w:rsidRPr="00BB2ADB" w:rsidRDefault="00BB2ADB" w:rsidP="00BB2ADB">
      <w:r w:rsidRPr="00BB2ADB">
        <w:t>SIA considers that sport represents one of Australia's most significant yet underutilised settings for primary prevention.</w:t>
      </w:r>
    </w:p>
    <w:p w14:paraId="69DFC0A7" w14:textId="77777777" w:rsidR="00BB2ADB" w:rsidRPr="00BB2ADB" w:rsidRDefault="00BB2ADB" w:rsidP="00BB2ADB">
      <w:r w:rsidRPr="00BB2ADB">
        <w:t>Organised sport shapes:</w:t>
      </w:r>
    </w:p>
    <w:p w14:paraId="47EEC6B8" w14:textId="77777777" w:rsidR="00BB2ADB" w:rsidRPr="00BB2ADB" w:rsidRDefault="00BB2ADB" w:rsidP="00BB2ADB">
      <w:pPr>
        <w:numPr>
          <w:ilvl w:val="0"/>
          <w:numId w:val="1"/>
        </w:numPr>
      </w:pPr>
      <w:r w:rsidRPr="00BB2ADB">
        <w:t>Gender norms and expectations</w:t>
      </w:r>
    </w:p>
    <w:p w14:paraId="2E4A6AF2" w14:textId="77777777" w:rsidR="00BB2ADB" w:rsidRPr="00BB2ADB" w:rsidRDefault="00BB2ADB" w:rsidP="00BB2ADB">
      <w:pPr>
        <w:numPr>
          <w:ilvl w:val="0"/>
          <w:numId w:val="1"/>
        </w:numPr>
      </w:pPr>
      <w:r w:rsidRPr="00BB2ADB">
        <w:t>Leadership behaviours</w:t>
      </w:r>
    </w:p>
    <w:p w14:paraId="77F5812E" w14:textId="77777777" w:rsidR="00BB2ADB" w:rsidRPr="00BB2ADB" w:rsidRDefault="00BB2ADB" w:rsidP="00BB2ADB">
      <w:pPr>
        <w:numPr>
          <w:ilvl w:val="0"/>
          <w:numId w:val="1"/>
        </w:numPr>
      </w:pPr>
      <w:r w:rsidRPr="00BB2ADB">
        <w:t>Respectful relationships</w:t>
      </w:r>
    </w:p>
    <w:p w14:paraId="2069B58D" w14:textId="77777777" w:rsidR="00BB2ADB" w:rsidRPr="00BB2ADB" w:rsidRDefault="00BB2ADB" w:rsidP="00BB2ADB">
      <w:pPr>
        <w:numPr>
          <w:ilvl w:val="0"/>
          <w:numId w:val="1"/>
        </w:numPr>
      </w:pPr>
      <w:r w:rsidRPr="00BB2ADB">
        <w:t>Power dynamics</w:t>
      </w:r>
    </w:p>
    <w:p w14:paraId="1266B52C" w14:textId="77777777" w:rsidR="00BB2ADB" w:rsidRPr="00BB2ADB" w:rsidRDefault="00BB2ADB" w:rsidP="00BB2ADB">
      <w:pPr>
        <w:numPr>
          <w:ilvl w:val="0"/>
          <w:numId w:val="1"/>
        </w:numPr>
      </w:pPr>
      <w:r w:rsidRPr="00BB2ADB">
        <w:t>Team and organisational culture</w:t>
      </w:r>
    </w:p>
    <w:p w14:paraId="09410F63" w14:textId="77777777" w:rsidR="00BB2ADB" w:rsidRPr="00BB2ADB" w:rsidRDefault="00BB2ADB" w:rsidP="00BB2ADB">
      <w:pPr>
        <w:numPr>
          <w:ilvl w:val="0"/>
          <w:numId w:val="1"/>
        </w:numPr>
      </w:pPr>
      <w:r w:rsidRPr="00BB2ADB">
        <w:t>Community attitudes towards inclusion and equality</w:t>
      </w:r>
    </w:p>
    <w:p w14:paraId="1FF7F77F" w14:textId="77777777" w:rsidR="00BB2ADB" w:rsidRPr="00BB2ADB" w:rsidRDefault="00BB2ADB" w:rsidP="00BB2ADB">
      <w:r w:rsidRPr="00BB2ADB">
        <w:lastRenderedPageBreak/>
        <w:t> </w:t>
      </w:r>
    </w:p>
    <w:p w14:paraId="2410E1D1" w14:textId="2C0D2F79" w:rsidR="00BB2ADB" w:rsidRPr="00BB2ADB" w:rsidRDefault="00BB2ADB" w:rsidP="00BB2ADB">
      <w:r w:rsidRPr="00BB2ADB">
        <w:t>These factors align closely with the prevention objectives of the National Plan and broader efforts to address the drivers of violence before harm occurs. The consultation materials highlight the importance of building on evidence, reviews and prevention approaches to inform the next phase of national action.  Unlike many settings, sport provides sustained engagement across the life course and offers opportunities to influence behaviour at individual, organisational and community levels simultaneously.</w:t>
      </w:r>
    </w:p>
    <w:p w14:paraId="36B3C46D" w14:textId="77777777" w:rsidR="00BB2ADB" w:rsidRPr="00BB2ADB" w:rsidRDefault="00BB2ADB" w:rsidP="00BB2ADB">
      <w:r w:rsidRPr="00BB2ADB">
        <w:t>Recognition of sport as a prevention setting alongside education, health and workplaces would support:</w:t>
      </w:r>
    </w:p>
    <w:p w14:paraId="2983579A" w14:textId="77777777" w:rsidR="00BB2ADB" w:rsidRPr="00BB2ADB" w:rsidRDefault="00BB2ADB" w:rsidP="00BB2ADB">
      <w:pPr>
        <w:numPr>
          <w:ilvl w:val="0"/>
          <w:numId w:val="2"/>
        </w:numPr>
      </w:pPr>
      <w:r w:rsidRPr="00BB2ADB">
        <w:t>More consistent gender equality messaging;</w:t>
      </w:r>
    </w:p>
    <w:p w14:paraId="2EC465CB" w14:textId="77777777" w:rsidR="00BB2ADB" w:rsidRPr="00BB2ADB" w:rsidRDefault="00BB2ADB" w:rsidP="00BB2ADB">
      <w:pPr>
        <w:numPr>
          <w:ilvl w:val="0"/>
          <w:numId w:val="2"/>
        </w:numPr>
      </w:pPr>
      <w:r w:rsidRPr="00BB2ADB">
        <w:t>Stronger prevention capability across sporting organisations;</w:t>
      </w:r>
    </w:p>
    <w:p w14:paraId="3F81F516" w14:textId="77777777" w:rsidR="00BB2ADB" w:rsidRPr="00BB2ADB" w:rsidRDefault="00BB2ADB" w:rsidP="00BB2ADB">
      <w:pPr>
        <w:numPr>
          <w:ilvl w:val="0"/>
          <w:numId w:val="2"/>
        </w:numPr>
      </w:pPr>
      <w:r w:rsidRPr="00BB2ADB">
        <w:t>Earlier identification of concerning behaviours;</w:t>
      </w:r>
    </w:p>
    <w:p w14:paraId="77A42CBF" w14:textId="77777777" w:rsidR="00BB2ADB" w:rsidRPr="00BB2ADB" w:rsidRDefault="00BB2ADB" w:rsidP="00BB2ADB">
      <w:pPr>
        <w:numPr>
          <w:ilvl w:val="0"/>
          <w:numId w:val="2"/>
        </w:numPr>
      </w:pPr>
      <w:r w:rsidRPr="00BB2ADB">
        <w:t>Improved referral pathways;</w:t>
      </w:r>
    </w:p>
    <w:p w14:paraId="7055A0D5" w14:textId="77777777" w:rsidR="00BB2ADB" w:rsidRPr="00BB2ADB" w:rsidRDefault="00BB2ADB" w:rsidP="00BB2ADB">
      <w:pPr>
        <w:numPr>
          <w:ilvl w:val="0"/>
          <w:numId w:val="2"/>
        </w:numPr>
      </w:pPr>
      <w:r w:rsidRPr="00BB2ADB">
        <w:t>Alignment between sport policy and national prevention policy; and</w:t>
      </w:r>
    </w:p>
    <w:p w14:paraId="6CD705B9" w14:textId="27570159" w:rsidR="00BB2ADB" w:rsidRPr="00BB2ADB" w:rsidRDefault="00BB2ADB" w:rsidP="00BB2ADB">
      <w:pPr>
        <w:numPr>
          <w:ilvl w:val="0"/>
          <w:numId w:val="2"/>
        </w:numPr>
      </w:pPr>
      <w:r w:rsidRPr="00BB2ADB">
        <w:t>Integration of violence prevention objectives into existing governance and integrity systems.</w:t>
      </w:r>
    </w:p>
    <w:p w14:paraId="10037582" w14:textId="77777777" w:rsidR="00BB2ADB" w:rsidRPr="00BB2ADB" w:rsidRDefault="00BB2ADB" w:rsidP="00BB2ADB">
      <w:r w:rsidRPr="00BB2ADB">
        <w:rPr>
          <w:b/>
          <w:bCs/>
        </w:rPr>
        <w:t>Sport Integrity as a Prevention Lever</w:t>
      </w:r>
    </w:p>
    <w:p w14:paraId="286556D2" w14:textId="34E900FA" w:rsidR="00BB2ADB" w:rsidRPr="00BB2ADB" w:rsidRDefault="00BB2ADB" w:rsidP="00BB2ADB">
      <w:r w:rsidRPr="00BB2ADB">
        <w:t>SIA's role has traditionally focused on integrity threats and safeguarding concerns within sport.</w:t>
      </w:r>
    </w:p>
    <w:p w14:paraId="52C08F3A" w14:textId="77777777" w:rsidR="00BB2ADB" w:rsidRPr="00BB2ADB" w:rsidRDefault="00BB2ADB" w:rsidP="00BB2ADB">
      <w:r w:rsidRPr="00BB2ADB">
        <w:t>However, SIA's experience demonstrates that many behaviours addressed through integrity systems intersect directly with issues relevant to the National Plan, including:</w:t>
      </w:r>
    </w:p>
    <w:p w14:paraId="40439536" w14:textId="77777777" w:rsidR="00BB2ADB" w:rsidRPr="00BB2ADB" w:rsidRDefault="00BB2ADB" w:rsidP="00BB2ADB">
      <w:pPr>
        <w:numPr>
          <w:ilvl w:val="0"/>
          <w:numId w:val="3"/>
        </w:numPr>
      </w:pPr>
      <w:r w:rsidRPr="00BB2ADB">
        <w:t>Sexual harassment;</w:t>
      </w:r>
    </w:p>
    <w:p w14:paraId="7BC01D18" w14:textId="77777777" w:rsidR="00BB2ADB" w:rsidRPr="00BB2ADB" w:rsidRDefault="00BB2ADB" w:rsidP="00BB2ADB">
      <w:pPr>
        <w:numPr>
          <w:ilvl w:val="0"/>
          <w:numId w:val="3"/>
        </w:numPr>
      </w:pPr>
      <w:r w:rsidRPr="00BB2ADB">
        <w:t>Sexual misconduct;</w:t>
      </w:r>
    </w:p>
    <w:p w14:paraId="142911D1" w14:textId="77777777" w:rsidR="00BB2ADB" w:rsidRPr="00BB2ADB" w:rsidRDefault="00BB2ADB" w:rsidP="00BB2ADB">
      <w:pPr>
        <w:numPr>
          <w:ilvl w:val="0"/>
          <w:numId w:val="3"/>
        </w:numPr>
      </w:pPr>
      <w:r w:rsidRPr="00BB2ADB">
        <w:t>Misuse of power and authority;</w:t>
      </w:r>
    </w:p>
    <w:p w14:paraId="069D2837" w14:textId="77777777" w:rsidR="00BB2ADB" w:rsidRPr="00BB2ADB" w:rsidRDefault="00BB2ADB" w:rsidP="00BB2ADB">
      <w:pPr>
        <w:numPr>
          <w:ilvl w:val="0"/>
          <w:numId w:val="3"/>
        </w:numPr>
      </w:pPr>
      <w:r w:rsidRPr="00BB2ADB">
        <w:t>Gender-based discrimination;</w:t>
      </w:r>
    </w:p>
    <w:p w14:paraId="561C7CAD" w14:textId="77777777" w:rsidR="00BB2ADB" w:rsidRPr="00BB2ADB" w:rsidRDefault="00BB2ADB" w:rsidP="00BB2ADB">
      <w:pPr>
        <w:numPr>
          <w:ilvl w:val="0"/>
          <w:numId w:val="3"/>
        </w:numPr>
      </w:pPr>
      <w:r w:rsidRPr="00BB2ADB">
        <w:t>Online abuse;</w:t>
      </w:r>
    </w:p>
    <w:p w14:paraId="1DE7E99E" w14:textId="77777777" w:rsidR="00BB2ADB" w:rsidRPr="00BB2ADB" w:rsidRDefault="00BB2ADB" w:rsidP="00BB2ADB">
      <w:pPr>
        <w:numPr>
          <w:ilvl w:val="0"/>
          <w:numId w:val="3"/>
        </w:numPr>
      </w:pPr>
      <w:r w:rsidRPr="00BB2ADB">
        <w:t>Coercive and controlling behaviours;</w:t>
      </w:r>
    </w:p>
    <w:p w14:paraId="64FA1409" w14:textId="77777777" w:rsidR="00BB2ADB" w:rsidRPr="00BB2ADB" w:rsidRDefault="00BB2ADB" w:rsidP="00BB2ADB">
      <w:pPr>
        <w:numPr>
          <w:ilvl w:val="0"/>
          <w:numId w:val="3"/>
        </w:numPr>
      </w:pPr>
      <w:r w:rsidRPr="00BB2ADB">
        <w:t>Retaliation against complainants; and</w:t>
      </w:r>
    </w:p>
    <w:p w14:paraId="68DF7B9A" w14:textId="77777777" w:rsidR="00BB2ADB" w:rsidRPr="00BB2ADB" w:rsidRDefault="00BB2ADB" w:rsidP="00BB2ADB">
      <w:pPr>
        <w:numPr>
          <w:ilvl w:val="0"/>
          <w:numId w:val="3"/>
        </w:numPr>
      </w:pPr>
      <w:r w:rsidRPr="00BB2ADB">
        <w:t>Other forms of interpersonal harm.</w:t>
      </w:r>
    </w:p>
    <w:p w14:paraId="6095B715" w14:textId="77777777" w:rsidR="00BB2ADB" w:rsidRPr="00BB2ADB" w:rsidRDefault="00BB2ADB" w:rsidP="00BB2ADB">
      <w:r w:rsidRPr="00BB2ADB">
        <w:t> </w:t>
      </w:r>
    </w:p>
    <w:p w14:paraId="6A9D8F4C" w14:textId="77777777" w:rsidR="00BB2ADB" w:rsidRPr="00BB2ADB" w:rsidRDefault="00BB2ADB" w:rsidP="00BB2ADB">
      <w:r w:rsidRPr="00BB2ADB">
        <w:lastRenderedPageBreak/>
        <w:t>These behaviours often sit on a continuum of violence and can contribute to environments where harm is normalised or left unaddressed.</w:t>
      </w:r>
    </w:p>
    <w:p w14:paraId="46E34AB2" w14:textId="01E57019" w:rsidR="00BB2ADB" w:rsidRPr="00BB2ADB" w:rsidRDefault="00BB2ADB" w:rsidP="00BB2ADB">
      <w:r w:rsidRPr="00BB2ADB">
        <w:t>The Second Action Plan presents an opportunity to strengthen the role of sport integrity systems in prevention by recognising gender-based violence, sexual harm and abuse of power as integrity risks requiring proactive prevention and monitoring, in addition to complaint management and enforcement.</w:t>
      </w:r>
    </w:p>
    <w:p w14:paraId="18B57851" w14:textId="77777777" w:rsidR="00BB2ADB" w:rsidRPr="00BB2ADB" w:rsidRDefault="00BB2ADB" w:rsidP="00BB2ADB">
      <w:r w:rsidRPr="00BB2ADB">
        <w:rPr>
          <w:b/>
          <w:bCs/>
        </w:rPr>
        <w:t>Whole-of-Government Alignment</w:t>
      </w:r>
    </w:p>
    <w:p w14:paraId="0BB31E18" w14:textId="54635C86" w:rsidR="00BB2ADB" w:rsidRPr="00BB2ADB" w:rsidRDefault="00BB2ADB" w:rsidP="00BB2ADB">
      <w:r w:rsidRPr="00BB2ADB">
        <w:t>If sport is to be recognised as a prevention setting under the Second Action Plan, SIA encourages DSS to engage with key sport and related portfolios across the Australian Government.</w:t>
      </w:r>
    </w:p>
    <w:p w14:paraId="28AC09E0" w14:textId="49B054E7" w:rsidR="00BB2ADB" w:rsidRPr="00BB2ADB" w:rsidRDefault="00BB2ADB" w:rsidP="00BB2ADB">
      <w:r w:rsidRPr="00BB2ADB">
        <w:t>Several existing national policy and integrity frameworks already intersect with the objectives of the National Plan and provide established mechanisms through which prevention outcomes could be delivered. Rather than creating parallel systems, there is an opportunity to align violence prevention objectives with existing sport policy settings, governance frameworks, education pathways and accountability mechanisms already operating across Australian sport. The Office for Sport’s National Sport Plan – Sport Horizon identifies priorities relating to safe and inclusive participation, integrity, wellbeing and sport's contribution to broader social outcomes. Within this architecture, the Australian Sports Commission's Play Well and Win Well strategies, alongside the sector-wide implementation of the National Integrity Framework (NIF), provide an existing foundation through which prevention initiatives could be embedded.</w:t>
      </w:r>
    </w:p>
    <w:p w14:paraId="03982D2E" w14:textId="3EC1398B" w:rsidR="00BB2ADB" w:rsidRPr="00BB2ADB" w:rsidRDefault="00BB2ADB" w:rsidP="00BB2ADB">
      <w:r w:rsidRPr="00BB2ADB">
        <w:t>The NIF provides nationally consistent policies, complaint-handling processes and behavioural expectations across Australian sport. Covering areas such as safeguarding, discrimination, bullying, abuse, sexual misconduct and inappropriate conduct, the NIF represents one of the most significant national governance reforms undertaken in sport. As implementation continues, there is an opportunity to strengthen connections between sport integrity and violence prevention by recognising gender-based violence, sexual harm and misuse of power as integrity risks requiring proactive prevention, education, monitoring and accountability—not solely post-incident response.</w:t>
      </w:r>
    </w:p>
    <w:p w14:paraId="0009E9B3" w14:textId="77777777" w:rsidR="00BB2ADB" w:rsidRPr="00BB2ADB" w:rsidRDefault="00BB2ADB" w:rsidP="00BB2ADB">
      <w:r w:rsidRPr="00BB2ADB">
        <w:t>Potential actions could include:</w:t>
      </w:r>
    </w:p>
    <w:p w14:paraId="17571D0B" w14:textId="77777777" w:rsidR="00BB2ADB" w:rsidRPr="00BB2ADB" w:rsidRDefault="00BB2ADB" w:rsidP="00BB2ADB">
      <w:pPr>
        <w:numPr>
          <w:ilvl w:val="0"/>
          <w:numId w:val="4"/>
        </w:numPr>
      </w:pPr>
      <w:r w:rsidRPr="00BB2ADB">
        <w:t>Embedding gender-based violence prevention expectations within sport governance and integrity frameworks;</w:t>
      </w:r>
    </w:p>
    <w:p w14:paraId="0401FE80" w14:textId="77777777" w:rsidR="00BB2ADB" w:rsidRPr="00BB2ADB" w:rsidRDefault="00BB2ADB" w:rsidP="00BB2ADB">
      <w:pPr>
        <w:numPr>
          <w:ilvl w:val="0"/>
          <w:numId w:val="4"/>
        </w:numPr>
      </w:pPr>
      <w:r w:rsidRPr="00BB2ADB">
        <w:t>Strengthening trauma-informed complaint-handling standards and guidance;</w:t>
      </w:r>
    </w:p>
    <w:p w14:paraId="5B8D2AEA" w14:textId="77777777" w:rsidR="00BB2ADB" w:rsidRPr="00BB2ADB" w:rsidRDefault="00BB2ADB" w:rsidP="00BB2ADB">
      <w:pPr>
        <w:numPr>
          <w:ilvl w:val="0"/>
          <w:numId w:val="4"/>
        </w:numPr>
      </w:pPr>
      <w:r w:rsidRPr="00BB2ADB">
        <w:t>Integrating Respect@Work, Positive Duty, gender equality and respectful behaviours content into sport education pathways from community to high-performance environments;</w:t>
      </w:r>
    </w:p>
    <w:p w14:paraId="51B4466A" w14:textId="77777777" w:rsidR="00BB2ADB" w:rsidRPr="00BB2ADB" w:rsidRDefault="00BB2ADB" w:rsidP="00BB2ADB">
      <w:pPr>
        <w:numPr>
          <w:ilvl w:val="0"/>
          <w:numId w:val="4"/>
        </w:numPr>
      </w:pPr>
      <w:r w:rsidRPr="00BB2ADB">
        <w:lastRenderedPageBreak/>
        <w:t>Developing guidance to assist sporting organisations to identify and respond to coercive and controlling behaviours;</w:t>
      </w:r>
    </w:p>
    <w:p w14:paraId="0BFE3E5B" w14:textId="77777777" w:rsidR="00BB2ADB" w:rsidRPr="00BB2ADB" w:rsidRDefault="00BB2ADB" w:rsidP="00BB2ADB">
      <w:pPr>
        <w:numPr>
          <w:ilvl w:val="0"/>
          <w:numId w:val="4"/>
        </w:numPr>
      </w:pPr>
      <w:r w:rsidRPr="00BB2ADB">
        <w:t>Strengthening data collection, research partnerships and trend analysis to support evidence-based prevention and early intervention efforts; and</w:t>
      </w:r>
    </w:p>
    <w:p w14:paraId="3E7EF28F" w14:textId="17638288" w:rsidR="00BB2ADB" w:rsidRPr="00BB2ADB" w:rsidRDefault="00BB2ADB" w:rsidP="00BB2ADB">
      <w:pPr>
        <w:numPr>
          <w:ilvl w:val="0"/>
          <w:numId w:val="4"/>
        </w:numPr>
      </w:pPr>
      <w:r w:rsidRPr="00BB2ADB">
        <w:t>Supporting stronger referral pathways between sport integrity systems and specialist family, domestic and sexual violence services.</w:t>
      </w:r>
    </w:p>
    <w:p w14:paraId="272C3D7B" w14:textId="77777777" w:rsidR="00BB2ADB" w:rsidRPr="00BB2ADB" w:rsidRDefault="00BB2ADB" w:rsidP="00BB2ADB">
      <w:r w:rsidRPr="00BB2ADB">
        <w:t>Relevant stakeholders include:</w:t>
      </w:r>
    </w:p>
    <w:p w14:paraId="673F4FE1" w14:textId="77777777" w:rsidR="00BB2ADB" w:rsidRPr="00BB2ADB" w:rsidRDefault="00BB2ADB" w:rsidP="00BB2ADB">
      <w:pPr>
        <w:numPr>
          <w:ilvl w:val="0"/>
          <w:numId w:val="5"/>
        </w:numPr>
      </w:pPr>
      <w:r w:rsidRPr="00BB2ADB">
        <w:t>Australian Sports Commission;</w:t>
      </w:r>
    </w:p>
    <w:p w14:paraId="02E84D6C" w14:textId="77777777" w:rsidR="00BB2ADB" w:rsidRPr="00BB2ADB" w:rsidRDefault="00BB2ADB" w:rsidP="00BB2ADB">
      <w:pPr>
        <w:numPr>
          <w:ilvl w:val="0"/>
          <w:numId w:val="5"/>
        </w:numPr>
      </w:pPr>
      <w:r w:rsidRPr="00BB2ADB">
        <w:t>Office for Sport;</w:t>
      </w:r>
    </w:p>
    <w:p w14:paraId="24EEE42E" w14:textId="77777777" w:rsidR="00BB2ADB" w:rsidRPr="00BB2ADB" w:rsidRDefault="00BB2ADB" w:rsidP="00BB2ADB">
      <w:pPr>
        <w:numPr>
          <w:ilvl w:val="0"/>
          <w:numId w:val="5"/>
        </w:numPr>
      </w:pPr>
      <w:r w:rsidRPr="00BB2ADB">
        <w:t>Sport Integrity Australia;</w:t>
      </w:r>
    </w:p>
    <w:p w14:paraId="7BB4782D" w14:textId="77777777" w:rsidR="00BB2ADB" w:rsidRPr="00BB2ADB" w:rsidRDefault="00BB2ADB" w:rsidP="00BB2ADB">
      <w:pPr>
        <w:numPr>
          <w:ilvl w:val="0"/>
          <w:numId w:val="5"/>
        </w:numPr>
      </w:pPr>
      <w:r w:rsidRPr="00BB2ADB">
        <w:t>National Sports Tribunal;</w:t>
      </w:r>
    </w:p>
    <w:p w14:paraId="5573416B" w14:textId="77777777" w:rsidR="00BB2ADB" w:rsidRPr="00BB2ADB" w:rsidRDefault="00BB2ADB" w:rsidP="00BB2ADB">
      <w:pPr>
        <w:numPr>
          <w:ilvl w:val="0"/>
          <w:numId w:val="5"/>
        </w:numPr>
      </w:pPr>
      <w:r w:rsidRPr="00BB2ADB">
        <w:t>eSafety Commissioner;</w:t>
      </w:r>
    </w:p>
    <w:p w14:paraId="41A19571" w14:textId="77777777" w:rsidR="00BB2ADB" w:rsidRPr="00BB2ADB" w:rsidRDefault="00BB2ADB" w:rsidP="00BB2ADB">
      <w:pPr>
        <w:numPr>
          <w:ilvl w:val="0"/>
          <w:numId w:val="5"/>
        </w:numPr>
      </w:pPr>
      <w:r w:rsidRPr="00BB2ADB">
        <w:t>Office for Women;</w:t>
      </w:r>
    </w:p>
    <w:p w14:paraId="6EEED548" w14:textId="77777777" w:rsidR="00BB2ADB" w:rsidRPr="00BB2ADB" w:rsidRDefault="00BB2ADB" w:rsidP="00BB2ADB">
      <w:pPr>
        <w:numPr>
          <w:ilvl w:val="0"/>
          <w:numId w:val="5"/>
        </w:numPr>
      </w:pPr>
      <w:r w:rsidRPr="00BB2ADB">
        <w:t>Sex Discrimination Commissioner,</w:t>
      </w:r>
    </w:p>
    <w:p w14:paraId="5B792510" w14:textId="77777777" w:rsidR="00BB2ADB" w:rsidRPr="00BB2ADB" w:rsidRDefault="00BB2ADB" w:rsidP="00BB2ADB">
      <w:pPr>
        <w:numPr>
          <w:ilvl w:val="0"/>
          <w:numId w:val="5"/>
        </w:numPr>
      </w:pPr>
      <w:r w:rsidRPr="00BB2ADB">
        <w:t>Office for Social Cohesion; and</w:t>
      </w:r>
    </w:p>
    <w:p w14:paraId="1386A52B" w14:textId="2F9747FE" w:rsidR="00BB2ADB" w:rsidRPr="00BB2ADB" w:rsidRDefault="00BB2ADB" w:rsidP="00BB2ADB">
      <w:pPr>
        <w:numPr>
          <w:ilvl w:val="0"/>
          <w:numId w:val="5"/>
        </w:numPr>
      </w:pPr>
      <w:r w:rsidRPr="00BB2ADB">
        <w:t xml:space="preserve">State and Territory Sport Partners. </w:t>
      </w:r>
    </w:p>
    <w:p w14:paraId="1EB85E04" w14:textId="59B1AE38" w:rsidR="00BB2ADB" w:rsidRPr="00BB2ADB" w:rsidRDefault="00BB2ADB" w:rsidP="00BB2ADB">
      <w:r w:rsidRPr="00BB2ADB">
        <w:t>Cross-portfolio collaboration would strengthen policy coherence, improve coordination and leverage existing delivery mechanisms. The NIF and Play by the Rules provide a scalable and nationally consistent architecture through which sport can contribute to primary prevention, early intervention and safer organisational cultures. The opportunity for the Second Action Plan is not to create new systems, but to intentionally align with existing sport systems that already reach millions of Australians across community, pathway and high-performance sport. </w:t>
      </w:r>
    </w:p>
    <w:p w14:paraId="21FB8C68" w14:textId="77777777" w:rsidR="00BB2ADB" w:rsidRPr="00BB2ADB" w:rsidRDefault="00BB2ADB" w:rsidP="00BB2ADB">
      <w:r w:rsidRPr="00BB2ADB">
        <w:rPr>
          <w:b/>
          <w:bCs/>
        </w:rPr>
        <w:t>Conclusion</w:t>
      </w:r>
    </w:p>
    <w:p w14:paraId="03322292" w14:textId="05671BB5" w:rsidR="00BB2ADB" w:rsidRPr="00BB2ADB" w:rsidRDefault="00BB2ADB" w:rsidP="00BB2ADB">
      <w:r w:rsidRPr="00BB2ADB">
        <w:t xml:space="preserve">Sport Integrity Australia strongly supports the objectives of the National Plan to End Violence against Women and Children 2022–2032 and welcomes the opportunity to contribute to development of the Second Action Plan. </w:t>
      </w:r>
    </w:p>
    <w:p w14:paraId="3564EF31" w14:textId="77777777" w:rsidR="00BB2ADB" w:rsidRPr="00BB2ADB" w:rsidRDefault="00BB2ADB" w:rsidP="00BB2ADB">
      <w:r w:rsidRPr="00BB2ADB">
        <w:t>The sporting system offers a significant and largely untapped opportunity to advance Australia's prevention agenda. Through existing sport governance structures, integrity systems, education platforms and community networks, sport can contribute meaningfully to shifting harmful norms, promoting gender equality and strengthening safe organisational cultures.</w:t>
      </w:r>
    </w:p>
    <w:p w14:paraId="7C38EE76" w14:textId="77777777" w:rsidR="00BB2ADB" w:rsidRPr="00BB2ADB" w:rsidRDefault="00BB2ADB" w:rsidP="00BB2ADB">
      <w:r w:rsidRPr="00BB2ADB">
        <w:t> </w:t>
      </w:r>
    </w:p>
    <w:p w14:paraId="236A4E61" w14:textId="629A706D" w:rsidR="00BB2ADB" w:rsidRPr="00BB2ADB" w:rsidRDefault="00BB2ADB" w:rsidP="00BB2ADB">
      <w:r w:rsidRPr="00BB2ADB">
        <w:lastRenderedPageBreak/>
        <w:t>The Second Action Plan presents an opportunity to formally recognise sport as a prevention setting and to utilise existing Commonwealth infrastructure, partnerships and policy levers to support implementation. By building on established mechanisms rather than creating parallel systems, government can strengthen prevention outcomes while maximising reach, sustainability and value for investment.</w:t>
      </w:r>
    </w:p>
    <w:p w14:paraId="404D9317" w14:textId="77777777" w:rsidR="00BB2ADB" w:rsidRPr="00BB2ADB" w:rsidRDefault="00BB2ADB" w:rsidP="00BB2ADB">
      <w:r w:rsidRPr="00BB2ADB">
        <w:t>SIA welcomes continued engagement with DSS and partner agencies as the Second Action Plan is developed.</w:t>
      </w:r>
    </w:p>
    <w:p w14:paraId="6395C49B" w14:textId="77777777" w:rsidR="0023679E" w:rsidRDefault="0023679E"/>
    <w:sectPr w:rsidR="002367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1127D"/>
    <w:multiLevelType w:val="multilevel"/>
    <w:tmpl w:val="E8103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567B2B"/>
    <w:multiLevelType w:val="multilevel"/>
    <w:tmpl w:val="D71AAE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B80BDB"/>
    <w:multiLevelType w:val="multilevel"/>
    <w:tmpl w:val="E46460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282DDF"/>
    <w:multiLevelType w:val="multilevel"/>
    <w:tmpl w:val="0C764C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291819"/>
    <w:multiLevelType w:val="multilevel"/>
    <w:tmpl w:val="7A3E20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89287575">
    <w:abstractNumId w:val="2"/>
  </w:num>
  <w:num w:numId="2" w16cid:durableId="561672733">
    <w:abstractNumId w:val="1"/>
  </w:num>
  <w:num w:numId="3" w16cid:durableId="1437823377">
    <w:abstractNumId w:val="3"/>
  </w:num>
  <w:num w:numId="4" w16cid:durableId="1783575120">
    <w:abstractNumId w:val="4"/>
  </w:num>
  <w:num w:numId="5" w16cid:durableId="358167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ADB"/>
    <w:rsid w:val="00022A23"/>
    <w:rsid w:val="0023679E"/>
    <w:rsid w:val="006136D1"/>
    <w:rsid w:val="00B3266A"/>
    <w:rsid w:val="00BB2ADB"/>
    <w:rsid w:val="00D807DD"/>
    <w:rsid w:val="00E470F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849DA"/>
  <w15:chartTrackingRefBased/>
  <w15:docId w15:val="{1F8FDD14-E316-4395-80F4-F6EA7CEA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A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A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A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ADB"/>
    <w:rPr>
      <w:rFonts w:eastAsiaTheme="majorEastAsia" w:cstheme="majorBidi"/>
      <w:color w:val="272727" w:themeColor="text1" w:themeTint="D8"/>
    </w:rPr>
  </w:style>
  <w:style w:type="paragraph" w:styleId="Title">
    <w:name w:val="Title"/>
    <w:basedOn w:val="Normal"/>
    <w:next w:val="Normal"/>
    <w:link w:val="TitleChar"/>
    <w:uiPriority w:val="10"/>
    <w:qFormat/>
    <w:rsid w:val="00BB2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ADB"/>
    <w:pPr>
      <w:spacing w:before="160"/>
      <w:jc w:val="center"/>
    </w:pPr>
    <w:rPr>
      <w:i/>
      <w:iCs/>
      <w:color w:val="404040" w:themeColor="text1" w:themeTint="BF"/>
    </w:rPr>
  </w:style>
  <w:style w:type="character" w:customStyle="1" w:styleId="QuoteChar">
    <w:name w:val="Quote Char"/>
    <w:basedOn w:val="DefaultParagraphFont"/>
    <w:link w:val="Quote"/>
    <w:uiPriority w:val="29"/>
    <w:rsid w:val="00BB2ADB"/>
    <w:rPr>
      <w:i/>
      <w:iCs/>
      <w:color w:val="404040" w:themeColor="text1" w:themeTint="BF"/>
    </w:rPr>
  </w:style>
  <w:style w:type="paragraph" w:styleId="ListParagraph">
    <w:name w:val="List Paragraph"/>
    <w:basedOn w:val="Normal"/>
    <w:uiPriority w:val="34"/>
    <w:qFormat/>
    <w:rsid w:val="00BB2ADB"/>
    <w:pPr>
      <w:ind w:left="720"/>
      <w:contextualSpacing/>
    </w:pPr>
  </w:style>
  <w:style w:type="character" w:styleId="IntenseEmphasis">
    <w:name w:val="Intense Emphasis"/>
    <w:basedOn w:val="DefaultParagraphFont"/>
    <w:uiPriority w:val="21"/>
    <w:qFormat/>
    <w:rsid w:val="00BB2ADB"/>
    <w:rPr>
      <w:i/>
      <w:iCs/>
      <w:color w:val="0F4761" w:themeColor="accent1" w:themeShade="BF"/>
    </w:rPr>
  </w:style>
  <w:style w:type="paragraph" w:styleId="IntenseQuote">
    <w:name w:val="Intense Quote"/>
    <w:basedOn w:val="Normal"/>
    <w:next w:val="Normal"/>
    <w:link w:val="IntenseQuoteChar"/>
    <w:uiPriority w:val="30"/>
    <w:qFormat/>
    <w:rsid w:val="00BB2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ADB"/>
    <w:rPr>
      <w:i/>
      <w:iCs/>
      <w:color w:val="0F4761" w:themeColor="accent1" w:themeShade="BF"/>
    </w:rPr>
  </w:style>
  <w:style w:type="character" w:styleId="IntenseReference">
    <w:name w:val="Intense Reference"/>
    <w:basedOn w:val="DefaultParagraphFont"/>
    <w:uiPriority w:val="32"/>
    <w:qFormat/>
    <w:rsid w:val="00BB2A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AA25BD-C9FD-49D6-9FCD-40BCF72CFEC1}"/>
</file>

<file path=customXml/itemProps2.xml><?xml version="1.0" encoding="utf-8"?>
<ds:datastoreItem xmlns:ds="http://schemas.openxmlformats.org/officeDocument/2006/customXml" ds:itemID="{3B358D68-E3D0-4236-9088-3EBB73BF78E2}"/>
</file>

<file path=customXml/itemProps3.xml><?xml version="1.0" encoding="utf-8"?>
<ds:datastoreItem xmlns:ds="http://schemas.openxmlformats.org/officeDocument/2006/customXml" ds:itemID="{181D1F19-A4D1-4FCE-B373-7A850A8262DB}"/>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7250</Characters>
  <Application>Microsoft Office Word</Application>
  <DocSecurity>4</DocSecurity>
  <Lines>60</Lines>
  <Paragraphs>17</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2</cp:revision>
  <dcterms:created xsi:type="dcterms:W3CDTF">2026-09-07T04:35:00Z</dcterms:created>
  <dcterms:modified xsi:type="dcterms:W3CDTF">2026-09-07T04:35:00Z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