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F4E10" w14:textId="06CD8009" w:rsidR="0023679E" w:rsidRDefault="00FD2C24">
      <w:pPr>
        <w:rPr>
          <w:b/>
          <w:bCs/>
        </w:rPr>
      </w:pPr>
      <w:r>
        <w:rPr>
          <w:b/>
          <w:bCs/>
        </w:rPr>
        <w:t>Stand Again</w:t>
      </w:r>
    </w:p>
    <w:p w14:paraId="12D1597A" w14:textId="21FA9B75" w:rsidR="00FD2C24" w:rsidRDefault="00FD2C24">
      <w:pPr>
        <w:rPr>
          <w:b/>
          <w:bCs/>
        </w:rPr>
      </w:pPr>
      <w:r w:rsidRPr="00FD2C24">
        <w:rPr>
          <w:b/>
          <w:bCs/>
        </w:rPr>
        <w:t>Feedback for Priority Area 1: Victim-survivors</w:t>
      </w:r>
    </w:p>
    <w:p w14:paraId="3CACD550" w14:textId="55D5E0CF" w:rsidR="00FD2C24" w:rsidRDefault="00FD2C24" w:rsidP="00FD2C24">
      <w:r>
        <w:t xml:space="preserve">Stand Again has conducted a preliminary gap analysis of Australia's DFV service landscape, mapping 336 service providers across 19 service lines and all states and territories. The analysis identifies where provision is strong and where gaps remain across all populations. </w:t>
      </w:r>
    </w:p>
    <w:p w14:paraId="4D803C52" w14:textId="77777777" w:rsidR="00FD2C24" w:rsidRDefault="00FD2C24" w:rsidP="00FD2C24">
      <w:r>
        <w:t xml:space="preserve">Against a proxy benchmark, an estimated 1.74 million victim-survivors are potentially underserved, suggesting an additional ~33 female victim-survivor providers in VIC and QLD primarily and 141 male victim-survivor providers across most States &amp; Territories are needed in the DFV sector. </w:t>
      </w:r>
    </w:p>
    <w:p w14:paraId="4B9702F6" w14:textId="77777777" w:rsidR="00FD2C24" w:rsidRDefault="00FD2C24" w:rsidP="00FD2C24">
      <w:r>
        <w:t xml:space="preserve">Critical service lines including DFV-specific suicide prevention are underserved for both women and men. The analysis also identifies gaps in female perpetrator behaviour change programs, which are concentrated in VIC and WA. </w:t>
      </w:r>
    </w:p>
    <w:p w14:paraId="7B5963CA" w14:textId="77777777" w:rsidR="00FD2C24" w:rsidRDefault="00FD2C24" w:rsidP="00FD2C24">
      <w:r>
        <w:t xml:space="preserve">The downstream cost of these gaps for victim-survivors across the health, justice, housing, and employment systems is estimated at $7 billion per year. </w:t>
      </w:r>
    </w:p>
    <w:p w14:paraId="2F564714" w14:textId="77777777" w:rsidR="00FD2C24" w:rsidRDefault="00FD2C24" w:rsidP="00FD2C24">
      <w:r>
        <w:t xml:space="preserve">The submission recommends a national gap analysis and scoping study, targeted investment in dedicated service growth across underserved populations, and the establishment of coordinated partnership networks. </w:t>
      </w:r>
    </w:p>
    <w:p w14:paraId="49844C75" w14:textId="1BB3A537" w:rsidR="00FD2C24" w:rsidRDefault="00FD2C24" w:rsidP="00FD2C24">
      <w:r>
        <w:t>A detailed evidence base, service chain analysis, benchmarking methodology, and full recommendations are provided in the attached submission.</w:t>
      </w:r>
    </w:p>
    <w:p w14:paraId="6731A224" w14:textId="1F8DA7B3" w:rsidR="00FD2C24" w:rsidRDefault="00FD2C24" w:rsidP="00FD2C24">
      <w:pPr>
        <w:rPr>
          <w:b/>
          <w:bCs/>
        </w:rPr>
      </w:pPr>
      <w:r w:rsidRPr="00FD2C24">
        <w:rPr>
          <w:b/>
          <w:bCs/>
        </w:rPr>
        <w:t>Feedback for Priority Area 2: Prevention and early intervention</w:t>
      </w:r>
    </w:p>
    <w:p w14:paraId="2DD61C3D" w14:textId="7E9C41F6" w:rsidR="00FD2C24" w:rsidRDefault="00FD2C24" w:rsidP="00FD2C24">
      <w:r>
        <w:t xml:space="preserve">The Consultation Paper identifies misogyny and gender-based violent extremism as an emerging concern, noting that the manosphere actively recruits through online spaces. </w:t>
      </w:r>
    </w:p>
    <w:p w14:paraId="0A061A58" w14:textId="77777777" w:rsidR="00FD2C24" w:rsidRDefault="00FD2C24" w:rsidP="00FD2C24">
      <w:r>
        <w:t xml:space="preserve">Research confirms that when victim-survivors cannot find legitimate, dedicated support, institutional isolation creates a vulnerability that harmful online communities exploit. </w:t>
      </w:r>
    </w:p>
    <w:p w14:paraId="272D4EB4" w14:textId="77777777" w:rsidR="00FD2C24" w:rsidRDefault="00FD2C24" w:rsidP="00FD2C24">
      <w:r>
        <w:t xml:space="preserve">Research also shows that individuals disengage from these communities when they gain access to supportive relationships and credible alternatives. </w:t>
      </w:r>
    </w:p>
    <w:p w14:paraId="103113BA" w14:textId="77777777" w:rsidR="00FD2C24" w:rsidRDefault="00FD2C24" w:rsidP="00FD2C24">
      <w:r>
        <w:t xml:space="preserve">This submission presents evidence that dedicated DFV services and visible, government-backed outreach provide exactly that alternative, making them a direct prevention investment. </w:t>
      </w:r>
    </w:p>
    <w:p w14:paraId="45CE9339" w14:textId="77777777" w:rsidR="00FD2C24" w:rsidRDefault="00FD2C24" w:rsidP="00FD2C24">
      <w:r>
        <w:t xml:space="preserve">The submission identifies three intervention points that require strengthening: government-supported public awareness for underserved victim-survivor populations, workplace-based programs that provide private pathways to specialist support, and </w:t>
      </w:r>
      <w:r>
        <w:lastRenderedPageBreak/>
        <w:t xml:space="preserve">front-line worker education that equips health, police, legal, and community practitioners to identify and appropriately refer all victim-survivors. </w:t>
      </w:r>
    </w:p>
    <w:p w14:paraId="4B69E1F2" w14:textId="1C6C3790" w:rsidR="00FD2C24" w:rsidRDefault="00FD2C24" w:rsidP="00FD2C24">
      <w:r>
        <w:t>Full detail, including the evidence base and recommendations, is provided in the attached submission.</w:t>
      </w:r>
    </w:p>
    <w:p w14:paraId="258392C1" w14:textId="4F572106" w:rsidR="00FD2C24" w:rsidRPr="00FD2C24" w:rsidRDefault="00FD2C24" w:rsidP="00FD2C24">
      <w:pPr>
        <w:rPr>
          <w:b/>
          <w:bCs/>
        </w:rPr>
      </w:pPr>
      <w:r w:rsidRPr="00FD2C24">
        <w:rPr>
          <w:b/>
          <w:bCs/>
        </w:rPr>
        <w:t>Feedback for Priority Area 5: System Integration and Workforce</w:t>
      </w:r>
    </w:p>
    <w:p w14:paraId="41F4A6AF" w14:textId="671C4849" w:rsidR="00FD2C24" w:rsidRDefault="00FD2C24" w:rsidP="00FD2C24">
      <w:r>
        <w:t xml:space="preserve">The submission identifies a gap in the evidence base and clinical tools available to practitioners working with diverse victim-survivor presentations. </w:t>
      </w:r>
    </w:p>
    <w:p w14:paraId="61AB52E0" w14:textId="77777777" w:rsidR="00FD2C24" w:rsidRDefault="00FD2C24" w:rsidP="00FD2C24">
      <w:r>
        <w:t xml:space="preserve">The screening and assessment instruments in current use were developed for and validated on female populations. The U.S. Preventive Services Task Force has identified the absence of valid screening tools for identifying intimate partner violence in men as a gap. </w:t>
      </w:r>
    </w:p>
    <w:p w14:paraId="04974A46" w14:textId="77777777" w:rsidR="00FD2C24" w:rsidRDefault="00FD2C24" w:rsidP="00FD2C24">
      <w:r>
        <w:t xml:space="preserve">Where presentations shaped by different cultural norms are not recognised by existing tools, there is a risk of misidentification, which research links to institutional invalidation and increased suicide risk. </w:t>
      </w:r>
    </w:p>
    <w:p w14:paraId="3B090C50" w14:textId="77777777" w:rsidR="00FD2C24" w:rsidRDefault="00FD2C24" w:rsidP="00FD2C24">
      <w:r>
        <w:t xml:space="preserve">The submission recommends investment in building the evidence base for diverse victim-survivor presentations, development of validated population-specific screening tools, and research into DFV-related suicide risk for both male and female victim-survivors. </w:t>
      </w:r>
    </w:p>
    <w:p w14:paraId="39D8FD64" w14:textId="1DCD46A7" w:rsidR="00FD2C24" w:rsidRPr="00FD2C24" w:rsidRDefault="00FD2C24" w:rsidP="00FD2C24">
      <w:r>
        <w:t>The attached submission provides the full evidence base, including an audit of current screening tools and their validation populations, and detailed recommendations.</w:t>
      </w:r>
    </w:p>
    <w:sectPr w:rsidR="00FD2C24" w:rsidRPr="00FD2C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C24"/>
    <w:rsid w:val="00022A23"/>
    <w:rsid w:val="0023679E"/>
    <w:rsid w:val="005767CC"/>
    <w:rsid w:val="00D807DD"/>
    <w:rsid w:val="00E74AB5"/>
    <w:rsid w:val="00FD2C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3B0FC"/>
  <w15:chartTrackingRefBased/>
  <w15:docId w15:val="{BA20EBBF-2C2A-4D9D-8D2A-957EA141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C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2C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2C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2C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2C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2C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C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C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C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C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2C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2C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2C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2C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2C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C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C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C24"/>
    <w:rPr>
      <w:rFonts w:eastAsiaTheme="majorEastAsia" w:cstheme="majorBidi"/>
      <w:color w:val="272727" w:themeColor="text1" w:themeTint="D8"/>
    </w:rPr>
  </w:style>
  <w:style w:type="paragraph" w:styleId="Title">
    <w:name w:val="Title"/>
    <w:basedOn w:val="Normal"/>
    <w:next w:val="Normal"/>
    <w:link w:val="TitleChar"/>
    <w:uiPriority w:val="10"/>
    <w:qFormat/>
    <w:rsid w:val="00FD2C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C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C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C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C24"/>
    <w:pPr>
      <w:spacing w:before="160"/>
      <w:jc w:val="center"/>
    </w:pPr>
    <w:rPr>
      <w:i/>
      <w:iCs/>
      <w:color w:val="404040" w:themeColor="text1" w:themeTint="BF"/>
    </w:rPr>
  </w:style>
  <w:style w:type="character" w:customStyle="1" w:styleId="QuoteChar">
    <w:name w:val="Quote Char"/>
    <w:basedOn w:val="DefaultParagraphFont"/>
    <w:link w:val="Quote"/>
    <w:uiPriority w:val="29"/>
    <w:rsid w:val="00FD2C24"/>
    <w:rPr>
      <w:i/>
      <w:iCs/>
      <w:color w:val="404040" w:themeColor="text1" w:themeTint="BF"/>
    </w:rPr>
  </w:style>
  <w:style w:type="paragraph" w:styleId="ListParagraph">
    <w:name w:val="List Paragraph"/>
    <w:basedOn w:val="Normal"/>
    <w:uiPriority w:val="34"/>
    <w:qFormat/>
    <w:rsid w:val="00FD2C24"/>
    <w:pPr>
      <w:ind w:left="720"/>
      <w:contextualSpacing/>
    </w:pPr>
  </w:style>
  <w:style w:type="character" w:styleId="IntenseEmphasis">
    <w:name w:val="Intense Emphasis"/>
    <w:basedOn w:val="DefaultParagraphFont"/>
    <w:uiPriority w:val="21"/>
    <w:qFormat/>
    <w:rsid w:val="00FD2C24"/>
    <w:rPr>
      <w:i/>
      <w:iCs/>
      <w:color w:val="0F4761" w:themeColor="accent1" w:themeShade="BF"/>
    </w:rPr>
  </w:style>
  <w:style w:type="paragraph" w:styleId="IntenseQuote">
    <w:name w:val="Intense Quote"/>
    <w:basedOn w:val="Normal"/>
    <w:next w:val="Normal"/>
    <w:link w:val="IntenseQuoteChar"/>
    <w:uiPriority w:val="30"/>
    <w:qFormat/>
    <w:rsid w:val="00FD2C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2C24"/>
    <w:rPr>
      <w:i/>
      <w:iCs/>
      <w:color w:val="0F4761" w:themeColor="accent1" w:themeShade="BF"/>
    </w:rPr>
  </w:style>
  <w:style w:type="character" w:styleId="IntenseReference">
    <w:name w:val="Intense Reference"/>
    <w:basedOn w:val="DefaultParagraphFont"/>
    <w:uiPriority w:val="32"/>
    <w:qFormat/>
    <w:rsid w:val="00FD2C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B30C43-E93D-4D4B-AB5B-7C37BCE2A2EB}"/>
</file>

<file path=customXml/itemProps2.xml><?xml version="1.0" encoding="utf-8"?>
<ds:datastoreItem xmlns:ds="http://schemas.openxmlformats.org/officeDocument/2006/customXml" ds:itemID="{0F20CD5C-6E83-4B2D-B8E2-5CD3A0C849A3}"/>
</file>

<file path=customXml/itemProps3.xml><?xml version="1.0" encoding="utf-8"?>
<ds:datastoreItem xmlns:ds="http://schemas.openxmlformats.org/officeDocument/2006/customXml" ds:itemID="{7116B68F-5E7F-488B-ADA1-2F6D7BA2EF80}"/>
</file>

<file path=docProps/app.xml><?xml version="1.0" encoding="utf-8"?>
<Properties xmlns="http://schemas.openxmlformats.org/officeDocument/2006/extended-properties" xmlns:vt="http://schemas.openxmlformats.org/officeDocument/2006/docPropsVTypes">
  <Template>Normal.dotm</Template>
  <TotalTime>1</TotalTime>
  <Pages>2</Pages>
  <Words>553</Words>
  <Characters>3155</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2026-09-02T06:08:00Z</dcterms:created>
  <dcterms:modified xsi:type="dcterms:W3CDTF">2026-09-02T06:09:00Z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