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7F606" w14:textId="44021ABD" w:rsidR="0023679E" w:rsidRDefault="004C527E">
      <w:pPr>
        <w:rPr>
          <w:b/>
          <w:bCs/>
        </w:rPr>
      </w:pPr>
      <w:r w:rsidRPr="004C527E">
        <w:rPr>
          <w:b/>
          <w:bCs/>
        </w:rPr>
        <w:t>The Australian Domestic, Family and Sexual Violence Recovery Alliance</w:t>
      </w:r>
    </w:p>
    <w:p w14:paraId="6DB4CED6" w14:textId="3C1633C2" w:rsidR="004C527E" w:rsidRDefault="004C527E">
      <w:pPr>
        <w:rPr>
          <w:b/>
          <w:bCs/>
        </w:rPr>
      </w:pPr>
      <w:r w:rsidRPr="004C527E">
        <w:rPr>
          <w:b/>
          <w:bCs/>
        </w:rPr>
        <w:t>Feedback for Priority Area 1: Victim-survivors</w:t>
      </w:r>
    </w:p>
    <w:p w14:paraId="6E6D3991" w14:textId="0837179A" w:rsidR="004C527E" w:rsidRDefault="004C527E" w:rsidP="004C527E">
      <w:r>
        <w:t>The Australian Domestic, Family and Sexual Violence Recovery Alliance recognises that recovery and healing from DFSV is multidimensional in nature and requires a multi-faceted response. Recovery refers to the ongoing process that victim-survivors undertake to heal and recover their lives and their physical, mental, and emotional health from the damage caused by domestic violence, enabling them to be “safe, healthy, and resilient and to have economic security and post-traumatic growth” (Department of Social Services, 2022). The extant literature emphasises the provision of support and mechanisms to enable recovery and healing from DFSV (</w:t>
      </w:r>
      <w:proofErr w:type="spellStart"/>
      <w:r>
        <w:t>Baranowsky</w:t>
      </w:r>
      <w:proofErr w:type="spellEnd"/>
      <w:r>
        <w:t xml:space="preserve"> &amp; Gentry, 2014; Palmieri &amp; Valentine, 2021). An integrated, holistic and trauma-informed approach that addresses all aspects of recovery is essential. This framework needs to adopt an intersectional approach to ensure that the support systems are culturally appropriate and responsive to structural, systemic and community barriers (Green, Satyen et al., 2023; Satyen et al., 2019; 2021). One such frame is the holistic support of the Beyond DV Recovery Pillars Framework enhanced the women’s mental health, social connectedness, financial wellbeing and educational empowerment, employability, renewed self-confidence, management of legal proceedings, support to secure housing, and advocacy skills (Satyen et al., 2025). The key aspects that led to these positive impacts are the long-term, consistent support provided by Beyond DV, the “open-door” policy that allows any service user to engage with the services when and for as long as they need it, and the holistic, person-centred approach to care. Such comprehensive, integrated and holistic interventions necessary to support the recovery and healing of victim-survivors. For example, the women emphasised that the Beyond DV is responsive to these dynamic needs: “Everyone is always there. Like I can disappear for a year, and then you go back and then they are always there, they are amazing.” Thus, the Alliance advocates for long-term, flexible, consistent services for all communities including people from the LGBTQIA+ community, migrant and refugee and culturally diverse communities, First Nations people, disabled people, and older people.</w:t>
      </w:r>
    </w:p>
    <w:p w14:paraId="6F4671D3" w14:textId="77777777" w:rsidR="004C527E" w:rsidRDefault="004C527E" w:rsidP="004C527E">
      <w:r>
        <w:t>The Alliance also advocates for the integral role of victim-survivors in all aspects of the co-design and implementation of recovery and healing-related work. For this to occur, advocates need to be provided with appropriate training and support along with compensation for their time and effort.</w:t>
      </w:r>
    </w:p>
    <w:p w14:paraId="7C89991F" w14:textId="77777777" w:rsidR="004C527E" w:rsidRDefault="004C527E" w:rsidP="004C527E">
      <w:r>
        <w:t>We assert that the voices of victim-survivors are front and centre of all decision making in relation to recovery and healing and are included in advisory committees and program planning and implementation across the country.</w:t>
      </w:r>
    </w:p>
    <w:p w14:paraId="45C422A3" w14:textId="77777777" w:rsidR="004C527E" w:rsidRDefault="004C527E" w:rsidP="004C527E">
      <w:r>
        <w:lastRenderedPageBreak/>
        <w:t xml:space="preserve">Place based (culturally safe and relevant) recovery and healing services are essential. For example, when a victim survivor leaves the refuge in the NT and </w:t>
      </w:r>
      <w:proofErr w:type="gramStart"/>
      <w:r>
        <w:t>returns back</w:t>
      </w:r>
      <w:proofErr w:type="gramEnd"/>
      <w:r>
        <w:t xml:space="preserve"> to community, they have no access to any recovery or healing services. </w:t>
      </w:r>
    </w:p>
    <w:p w14:paraId="1071A21B" w14:textId="77777777" w:rsidR="004C527E" w:rsidRDefault="004C527E" w:rsidP="004C527E">
      <w:r>
        <w:t>Embedding LGBTQ+ inclusion and capability across mainstream services and systems is essential and appropriate training should be provided to all services to ensure appropriate services are provided to the gender and sexually diverse community.</w:t>
      </w:r>
    </w:p>
    <w:p w14:paraId="7264A5F2" w14:textId="77777777" w:rsidR="004C527E" w:rsidRDefault="004C527E" w:rsidP="004C527E">
      <w:r>
        <w:t xml:space="preserve">Our recommendations are that there is an urgent need to scale up such care mechanisms to facilitate recovery and healing for all survivors of DFSV. With the significant number of women and girls over the age of 15 years being subjected to physical or sexual violence by an intimate partner or family member, it is essential that service systems across Australia implement evidence-based, trauma- and violence-informed, </w:t>
      </w:r>
      <w:proofErr w:type="gramStart"/>
      <w:r>
        <w:t>culturally-relevant</w:t>
      </w:r>
      <w:proofErr w:type="gramEnd"/>
      <w:r>
        <w:t xml:space="preserve"> frameworks to support their recovery and healing.</w:t>
      </w:r>
    </w:p>
    <w:p w14:paraId="7D75D4A4" w14:textId="77777777" w:rsidR="004C527E" w:rsidRDefault="004C527E" w:rsidP="004C527E">
      <w:r>
        <w:t xml:space="preserve">Further research should be conducted across multiple service providers to examine the effectiveness of such frameworks, while also exploring women’s level of recovery and healing across different points in time. While establishing holistic systems of care, it is essential that service providers and </w:t>
      </w:r>
      <w:proofErr w:type="gramStart"/>
      <w:r>
        <w:t>policy-makers</w:t>
      </w:r>
      <w:proofErr w:type="gramEnd"/>
      <w:r>
        <w:t xml:space="preserve"> consider the cultural context, the funding in the DFSV sector, the training needs and capacity of practitioners to deliver the required care, the cost-benefit analysis, and the legal frameworks within which such systems operate.</w:t>
      </w:r>
    </w:p>
    <w:p w14:paraId="370C6102" w14:textId="16EF1E3E" w:rsidR="004C527E" w:rsidRPr="004C527E" w:rsidRDefault="004C527E" w:rsidP="004C527E">
      <w:pPr>
        <w:rPr>
          <w:b/>
          <w:bCs/>
        </w:rPr>
      </w:pPr>
      <w:r w:rsidRPr="004C527E">
        <w:rPr>
          <w:b/>
          <w:bCs/>
        </w:rPr>
        <w:t>Feedback for Priority Area 2: Prevention and early intervention</w:t>
      </w:r>
    </w:p>
    <w:p w14:paraId="1A3F2157" w14:textId="2C6B9A54" w:rsidR="004C527E" w:rsidRDefault="004C527E" w:rsidP="004C527E">
      <w:r>
        <w:t xml:space="preserve">The Alliance asserts that long-term holistic recovery and healing support for all victim-survivors of DFSV is a critical form of prevention of future violence. </w:t>
      </w:r>
    </w:p>
    <w:p w14:paraId="02EEB3CB" w14:textId="77777777" w:rsidR="004C527E" w:rsidRDefault="004C527E" w:rsidP="004C527E">
      <w:r>
        <w:t>Preventing and ending violence requires sustained investment across prevention, early intervention, response and recovery. While crisis responses remain essential, long-term reductions in family, domestic and sexual violence will not be achieved without continued investment in prevention initiatives that address the underlying drivers of violence.</w:t>
      </w:r>
    </w:p>
    <w:p w14:paraId="1A74142B" w14:textId="77777777" w:rsidR="004C527E" w:rsidRDefault="004C527E" w:rsidP="004C527E">
      <w:r>
        <w:t>Short-term funding limits the ability of organisations to build community trust, maintain workforce capability, evaluate outcomes and deliver lasting change. Long-term funding arrangements create greater certainty for services, strengthen partnerships and support the implementation of evidence-informed prevention initiatives.</w:t>
      </w:r>
    </w:p>
    <w:p w14:paraId="5D4A7BF7" w14:textId="0D828FAF" w:rsidR="004C527E" w:rsidRDefault="004C527E" w:rsidP="004C527E">
      <w:r>
        <w:t>Investment in prevention should be recognised as a critical component of achieving the National Plan's long-term outcomes and reducing future demand on crisis, health, housing and justice systems.</w:t>
      </w:r>
    </w:p>
    <w:p w14:paraId="6E764FE7" w14:textId="77777777" w:rsidR="004C527E" w:rsidRDefault="004C527E" w:rsidP="004C527E"/>
    <w:p w14:paraId="0E70E1D0" w14:textId="77777777" w:rsidR="004C527E" w:rsidRDefault="004C527E" w:rsidP="004C527E"/>
    <w:p w14:paraId="21F46D59" w14:textId="4BE22717" w:rsidR="004C527E" w:rsidRPr="004C527E" w:rsidRDefault="004C527E" w:rsidP="004C527E">
      <w:pPr>
        <w:rPr>
          <w:b/>
          <w:bCs/>
        </w:rPr>
      </w:pPr>
      <w:r w:rsidRPr="004C527E">
        <w:rPr>
          <w:b/>
          <w:bCs/>
        </w:rPr>
        <w:lastRenderedPageBreak/>
        <w:t>Feedback for Priority Area 3: Children and young people in their own right</w:t>
      </w:r>
    </w:p>
    <w:p w14:paraId="7236698C" w14:textId="2B70D051" w:rsidR="004C527E" w:rsidRDefault="004C527E" w:rsidP="004C527E">
      <w:r>
        <w:t>The provision of ongoing support to children and young people to aid their recovery and healing is essential. Currently, across the country, such support is very limited. While the importance of services for children has been discussed extensively, the availability of practical support across DFSV services in Australia is almost next to nothing.</w:t>
      </w:r>
    </w:p>
    <w:p w14:paraId="2C7C0BFC" w14:textId="77777777" w:rsidR="004C527E" w:rsidRDefault="004C527E" w:rsidP="004C527E">
      <w:r>
        <w:t xml:space="preserve">Investment in a specialist children and young people's workforce would strengthen early intervention, improve therapeutic outcomes and support long-term wellbeing for children experiencing family and domestic violence. </w:t>
      </w:r>
    </w:p>
    <w:p w14:paraId="6069C097" w14:textId="77777777" w:rsidR="004C527E" w:rsidRDefault="004C527E" w:rsidP="004C527E">
      <w:r>
        <w:t xml:space="preserve">The extant literature (Satyen et al., 2025) shows that recovery and healing for adult victim-survivors of DFSV is linked with the wellbeing of their children. Therefore, for all survivors of DFSV to be well, it is crucial that children and young people are treated as individuals </w:t>
      </w:r>
      <w:proofErr w:type="gramStart"/>
      <w:r>
        <w:t>in their own right when</w:t>
      </w:r>
      <w:proofErr w:type="gramEnd"/>
      <w:r>
        <w:t xml:space="preserve"> the adults approach services and appropriate assistance is provided to their children. Services should also be flexible to cater to the needs of children even when the adult does not approach a service for </w:t>
      </w:r>
      <w:proofErr w:type="spellStart"/>
      <w:proofErr w:type="gramStart"/>
      <w:r>
        <w:t>support.One</w:t>
      </w:r>
      <w:proofErr w:type="spellEnd"/>
      <w:proofErr w:type="gramEnd"/>
      <w:r>
        <w:t xml:space="preserve"> of the key pillars of the Recovery Alliance is centring children and young people, along with the pillars of health, housing, economic and financial security, justice system responses. Therefore, the Alliance recognises the importance of addressing the recovery and healing needs of children and young people from diverse backgrounds, abilities, places, cultures and ages.</w:t>
      </w:r>
    </w:p>
    <w:p w14:paraId="460D555D" w14:textId="11BA4D74" w:rsidR="004C527E" w:rsidRPr="004C527E" w:rsidRDefault="004C527E" w:rsidP="004C527E">
      <w:pPr>
        <w:rPr>
          <w:b/>
          <w:bCs/>
        </w:rPr>
      </w:pPr>
      <w:r w:rsidRPr="004C527E">
        <w:rPr>
          <w:b/>
          <w:bCs/>
        </w:rPr>
        <w:t>Feedback for Priority Area 4: People who use violence</w:t>
      </w:r>
    </w:p>
    <w:p w14:paraId="31318E9C" w14:textId="333A28FE" w:rsidR="004C527E" w:rsidRDefault="004C527E" w:rsidP="004C527E">
      <w:r>
        <w:t>People who use violence are sometimes those who have experienced violence themselves, especially as children. If adequate recovery and healing services were made available to people who are abused, then this would prevent ongoing violence. Early intervention presents an important opportunity to prevent the development and escalation of violent behaviours. Children and young people exposed to violence benefit from supports that strengthen healthy relationship skills, emotional regulation, respect, consent and communication. This education must also occur with influential adults, caregivers and parents to support transfer of knowledge and societal/cultural change.</w:t>
      </w:r>
    </w:p>
    <w:p w14:paraId="5538CF76" w14:textId="77777777" w:rsidR="004C527E" w:rsidRDefault="004C527E" w:rsidP="004C527E">
      <w:r>
        <w:t>Continued investment in Healthy Relationships education can contribute to earlier identification of harmful behaviours and support long-term violence prevention outcomes.</w:t>
      </w:r>
    </w:p>
    <w:p w14:paraId="06D78459" w14:textId="77777777" w:rsidR="004C527E" w:rsidRDefault="004C527E" w:rsidP="004C527E">
      <w:r>
        <w:t>Support for children and young people who have experienced FDV is therefore vital in prevention.</w:t>
      </w:r>
    </w:p>
    <w:p w14:paraId="4AC3E74C" w14:textId="74DEEC60" w:rsidR="004C527E" w:rsidRPr="004C527E" w:rsidRDefault="004C527E" w:rsidP="004C527E">
      <w:pPr>
        <w:rPr>
          <w:b/>
          <w:bCs/>
        </w:rPr>
      </w:pPr>
      <w:r w:rsidRPr="004C527E">
        <w:rPr>
          <w:b/>
          <w:bCs/>
        </w:rPr>
        <w:t>Feedback for Priority Area 5: System Integration and Workforce</w:t>
      </w:r>
    </w:p>
    <w:p w14:paraId="7F7BC512" w14:textId="14FD0C0C" w:rsidR="004C527E" w:rsidRDefault="004C527E" w:rsidP="004C527E">
      <w:r>
        <w:t xml:space="preserve">The National Roundtable on Recovery and Healing (2024) reiterated the importance of system integration. We recommend the establishment holistic recovery hubs of support </w:t>
      </w:r>
      <w:r>
        <w:lastRenderedPageBreak/>
        <w:t xml:space="preserve">workers and multidisciplinary services to help victim-survivors navigate the justice system and processes. These hubs should offer wraparound rapid management plans, assessment, community legal education, long-term services and include the police, lawyers, child protection workers, counsellors and peer navigators. They should also facilitate adequate referrals and liaise with the agencies to enable ethical information sharing to avoid re-sharing and re-traumatisation. </w:t>
      </w:r>
    </w:p>
    <w:p w14:paraId="34FC4365" w14:textId="271F2141" w:rsidR="004C527E" w:rsidRDefault="004C527E" w:rsidP="004C527E">
      <w:r>
        <w:t xml:space="preserve">The need for flexibility and long-term support services to aid recovery and healing from DFSV. Multi-disciplinary and holistic services and national hubs that encapsulate, social, economic, mental, legal, physical and spiritual recovery. This involves coordination between various stakeholders and a robust referral network that is synced. </w:t>
      </w:r>
    </w:p>
    <w:p w14:paraId="33B8D297" w14:textId="77777777" w:rsidR="004C527E" w:rsidRDefault="004C527E" w:rsidP="004C527E">
      <w:r>
        <w:t>Further, greater involvement of community members and engagement of the public can lead to reforms in the housing sector. Real estate agencies, developers, rotary and business groups and philanthropists can be mobilised to rent properties or engage their existing networks to find adequate accommodation. Such resources and persons should be organised under a collaborative one-stop service or network that houses diverse stakeholders in the housing and the DFSV sector as well as victim-survivors. These can also act as forums and professional learning communities. They can also facilitate referrals for victim-survivors and avoid re-inventing the wheel by duplicating services and initiatives. A unified repository and network can overcome the challenges of poor service uptake due to lack of information and catalyse coordination between members of the community who can help. This is an example of potential system integration to address the Housing pillar of the Recovery Alliance.</w:t>
      </w:r>
    </w:p>
    <w:p w14:paraId="761D2B8D" w14:textId="785B7739" w:rsidR="004C527E" w:rsidRPr="004C527E" w:rsidRDefault="004C527E" w:rsidP="004C527E">
      <w:pPr>
        <w:rPr>
          <w:b/>
          <w:bCs/>
        </w:rPr>
      </w:pPr>
      <w:r w:rsidRPr="004C527E">
        <w:rPr>
          <w:b/>
          <w:bCs/>
        </w:rPr>
        <w:t>Are there any other actions you think should be a priority to stop family, domestic and sexual violence?</w:t>
      </w:r>
    </w:p>
    <w:p w14:paraId="4CB2575A" w14:textId="5473B615" w:rsidR="004C527E" w:rsidRDefault="004C527E" w:rsidP="004C527E">
      <w:r>
        <w:t>“Recovery isn’t linear, but the funding and the service system is.” The Alliance asserts that there should be a willingness of government departments to change rigid funding models to better reflect the breadth of support that victim-survivors require in their healing and recovery. Deliverables and reporting requirements need to accurately reflect what is happening on the ground.</w:t>
      </w:r>
    </w:p>
    <w:p w14:paraId="70CDF37B" w14:textId="77777777" w:rsidR="004C527E" w:rsidRDefault="004C527E" w:rsidP="004C527E">
      <w:r>
        <w:t xml:space="preserve">Governments should develop a nationally consistent approach to measuring the outcomes achieved by domestic, family and sexual violence service providers, alongside the true cost of delivering those outcomes. Current funding models can often be restrictive to meaningful long-term recovery outcomes. Better collection and analysis of outcomes data would enable governments to identify the models that deliver the greatest impact, invest in </w:t>
      </w:r>
      <w:proofErr w:type="gramStart"/>
      <w:r>
        <w:t>evidence based</w:t>
      </w:r>
      <w:proofErr w:type="gramEnd"/>
      <w:r>
        <w:t xml:space="preserve"> approaches, and ensure funding is directed towards organisations demonstrating measurable outcomes for victim-survivors.</w:t>
      </w:r>
    </w:p>
    <w:p w14:paraId="50CCB7F5" w14:textId="67F9B31A" w:rsidR="004C527E" w:rsidRPr="004C527E" w:rsidRDefault="004C527E" w:rsidP="004C527E">
      <w:r>
        <w:lastRenderedPageBreak/>
        <w:t>Thus, the national Recovery Alliance implores the Australian government to facilitate recovery and healing across the country through adequate funding, more Recovery and Healing centres around the country, ensuring that victim-survivors irrespective of their location, cultural background, ability, sexuality, identity, or age can recover and heal, feel safe, and empowered.</w:t>
      </w:r>
    </w:p>
    <w:sectPr w:rsidR="004C527E" w:rsidRPr="004C52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7E"/>
    <w:rsid w:val="00022A23"/>
    <w:rsid w:val="0023679E"/>
    <w:rsid w:val="004C527E"/>
    <w:rsid w:val="00D807DD"/>
    <w:rsid w:val="00DB6489"/>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8B85"/>
  <w15:chartTrackingRefBased/>
  <w15:docId w15:val="{86977F6C-D994-4185-B40C-DB41F546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27E"/>
    <w:rPr>
      <w:rFonts w:eastAsiaTheme="majorEastAsia" w:cstheme="majorBidi"/>
      <w:color w:val="272727" w:themeColor="text1" w:themeTint="D8"/>
    </w:rPr>
  </w:style>
  <w:style w:type="paragraph" w:styleId="Title">
    <w:name w:val="Title"/>
    <w:basedOn w:val="Normal"/>
    <w:next w:val="Normal"/>
    <w:link w:val="TitleChar"/>
    <w:uiPriority w:val="10"/>
    <w:qFormat/>
    <w:rsid w:val="004C5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27E"/>
    <w:pPr>
      <w:spacing w:before="160"/>
      <w:jc w:val="center"/>
    </w:pPr>
    <w:rPr>
      <w:i/>
      <w:iCs/>
      <w:color w:val="404040" w:themeColor="text1" w:themeTint="BF"/>
    </w:rPr>
  </w:style>
  <w:style w:type="character" w:customStyle="1" w:styleId="QuoteChar">
    <w:name w:val="Quote Char"/>
    <w:basedOn w:val="DefaultParagraphFont"/>
    <w:link w:val="Quote"/>
    <w:uiPriority w:val="29"/>
    <w:rsid w:val="004C527E"/>
    <w:rPr>
      <w:i/>
      <w:iCs/>
      <w:color w:val="404040" w:themeColor="text1" w:themeTint="BF"/>
    </w:rPr>
  </w:style>
  <w:style w:type="paragraph" w:styleId="ListParagraph">
    <w:name w:val="List Paragraph"/>
    <w:basedOn w:val="Normal"/>
    <w:uiPriority w:val="34"/>
    <w:qFormat/>
    <w:rsid w:val="004C527E"/>
    <w:pPr>
      <w:ind w:left="720"/>
      <w:contextualSpacing/>
    </w:pPr>
  </w:style>
  <w:style w:type="character" w:styleId="IntenseEmphasis">
    <w:name w:val="Intense Emphasis"/>
    <w:basedOn w:val="DefaultParagraphFont"/>
    <w:uiPriority w:val="21"/>
    <w:qFormat/>
    <w:rsid w:val="004C527E"/>
    <w:rPr>
      <w:i/>
      <w:iCs/>
      <w:color w:val="0F4761" w:themeColor="accent1" w:themeShade="BF"/>
    </w:rPr>
  </w:style>
  <w:style w:type="paragraph" w:styleId="IntenseQuote">
    <w:name w:val="Intense Quote"/>
    <w:basedOn w:val="Normal"/>
    <w:next w:val="Normal"/>
    <w:link w:val="IntenseQuoteChar"/>
    <w:uiPriority w:val="30"/>
    <w:qFormat/>
    <w:rsid w:val="004C5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27E"/>
    <w:rPr>
      <w:i/>
      <w:iCs/>
      <w:color w:val="0F4761" w:themeColor="accent1" w:themeShade="BF"/>
    </w:rPr>
  </w:style>
  <w:style w:type="character" w:styleId="IntenseReference">
    <w:name w:val="Intense Reference"/>
    <w:basedOn w:val="DefaultParagraphFont"/>
    <w:uiPriority w:val="32"/>
    <w:qFormat/>
    <w:rsid w:val="004C5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ABFC08-C3A0-4EDE-8B70-E7EE16A9E97F}"/>
</file>

<file path=customXml/itemProps2.xml><?xml version="1.0" encoding="utf-8"?>
<ds:datastoreItem xmlns:ds="http://schemas.openxmlformats.org/officeDocument/2006/customXml" ds:itemID="{AD772208-10E6-47DC-B790-7E6D2A45D587}"/>
</file>

<file path=customXml/itemProps3.xml><?xml version="1.0" encoding="utf-8"?>
<ds:datastoreItem xmlns:ds="http://schemas.openxmlformats.org/officeDocument/2006/customXml" ds:itemID="{E94777AC-9C92-4879-8893-5C3B37CE8461}"/>
</file>

<file path=docProps/app.xml><?xml version="1.0" encoding="utf-8"?>
<Properties xmlns="http://schemas.openxmlformats.org/officeDocument/2006/extended-properties" xmlns:vt="http://schemas.openxmlformats.org/officeDocument/2006/docPropsVTypes">
  <Template>Normal.dotm</Template>
  <TotalTime>2</TotalTime>
  <Pages>5</Pages>
  <Words>1719</Words>
  <Characters>9803</Characters>
  <Application>Microsoft Office Word</Application>
  <DocSecurity>0</DocSecurity>
  <Lines>81</Lines>
  <Paragraphs>22</Paragraphs>
  <ScaleCrop>false</ScaleCrop>
  <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2026-09-04T04:06:00Z</dcterms:created>
  <dcterms:modified xsi:type="dcterms:W3CDTF">2026-09-04T04:08:00Z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