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E2734" w14:textId="3B7CBCA7" w:rsidR="0023679E" w:rsidRDefault="008E53ED">
      <w:pPr>
        <w:rPr>
          <w:b/>
          <w:bCs/>
        </w:rPr>
      </w:pPr>
      <w:r w:rsidRPr="008E53ED">
        <w:rPr>
          <w:b/>
          <w:bCs/>
        </w:rPr>
        <w:t>The Evidence of Us™</w:t>
      </w:r>
    </w:p>
    <w:p w14:paraId="23888F4F" w14:textId="139CD72A" w:rsidR="008E53ED" w:rsidRDefault="008E53ED">
      <w:pPr>
        <w:rPr>
          <w:b/>
          <w:bCs/>
        </w:rPr>
      </w:pPr>
      <w:r w:rsidRPr="008E53ED">
        <w:rPr>
          <w:b/>
          <w:bCs/>
        </w:rPr>
        <w:t>Feedback for Priority Area 1: Victim-survivors</w:t>
      </w:r>
    </w:p>
    <w:p w14:paraId="2578978C" w14:textId="3ABD4A12" w:rsidR="008E53ED" w:rsidRDefault="008E53ED" w:rsidP="008E53ED">
      <w:r>
        <w:t>Please read the attached full submission and addenda. This response is intentionally concise; the attached material sets out the evidence, lived-experience analysis and detailed recommendations.</w:t>
      </w:r>
    </w:p>
    <w:p w14:paraId="0C268EE4" w14:textId="77777777" w:rsidR="008E53ED" w:rsidRDefault="008E53ED" w:rsidP="008E53ED">
      <w:r>
        <w:t>Victim-survivors need responses that are safety-led, trauma-informed, culturally safe and accountable for outcomes—not merely referrals or process completion. The Second Action Plan must address post-separation abuse, coercive control, technology-facilitated abuse, economic abuse, cross-system information failures and the barriers faced by CALD victim-survivors. Family law must be included as a core DFSV system, not treated as separate from safety and recovery.</w:t>
      </w:r>
    </w:p>
    <w:p w14:paraId="64A73510" w14:textId="2D6AE4DD" w:rsidR="008E53ED" w:rsidRPr="008E53ED" w:rsidRDefault="008E53ED" w:rsidP="008E53ED">
      <w:pPr>
        <w:rPr>
          <w:b/>
        </w:rPr>
      </w:pPr>
      <w:r w:rsidRPr="008E53ED">
        <w:rPr>
          <w:b/>
        </w:rPr>
        <w:t>Feedback for Priority Area 2: Prevention and early intervention</w:t>
      </w:r>
    </w:p>
    <w:p w14:paraId="13700D1D" w14:textId="78DAB904" w:rsidR="008E53ED" w:rsidRDefault="008E53ED" w:rsidP="008E53ED">
      <w:r>
        <w:t>Please read the attached full submission and addenda. This response is intentionally concise; the attached material sets out the evidence, lived-experience analysis and detailed recommendations.</w:t>
      </w:r>
    </w:p>
    <w:p w14:paraId="1F488395" w14:textId="77777777" w:rsidR="008E53ED" w:rsidRDefault="008E53ED" w:rsidP="008E53ED">
      <w:r>
        <w:t>Prevention must extend beyond awareness campaigns to early recognition of coercive control, patterns of cumulative harm and escalating risk across institutions. Governments should establish shared risk, evidence and safety standards; strengthen early intervention across schools, health, policing, child protection and family law; and measure whether interventions reduce harm.</w:t>
      </w:r>
    </w:p>
    <w:p w14:paraId="034AA6EB" w14:textId="263C7E56" w:rsidR="008E53ED" w:rsidRPr="008E53ED" w:rsidRDefault="008E53ED" w:rsidP="008E53ED">
      <w:pPr>
        <w:rPr>
          <w:b/>
          <w:bCs/>
        </w:rPr>
      </w:pPr>
      <w:r w:rsidRPr="008E53ED">
        <w:rPr>
          <w:b/>
          <w:bCs/>
        </w:rPr>
        <w:t>Feedback for Priority Area 3: Children and young people in their own right</w:t>
      </w:r>
    </w:p>
    <w:p w14:paraId="29A21E5B" w14:textId="79C7796A" w:rsidR="008E53ED" w:rsidRDefault="008E53ED" w:rsidP="008E53ED">
      <w:r>
        <w:t>Please read the attached full submission and addenda. This response is intentionally concise; the attached material sets out the evidence, lived-experience analysis and detailed recommendations.</w:t>
      </w:r>
    </w:p>
    <w:p w14:paraId="02A4BE9D" w14:textId="77777777" w:rsidR="008E53ED" w:rsidRDefault="008E53ED" w:rsidP="008E53ED">
      <w:r>
        <w:t xml:space="preserve">Children are rights-holders and </w:t>
      </w:r>
      <w:proofErr w:type="gramStart"/>
      <w:r>
        <w:t>victim-survivors in their own right</w:t>
      </w:r>
      <w:proofErr w:type="gramEnd"/>
      <w:r>
        <w:t>. Their disclosures, safety concerns and lived realities must be heard, assessed independently and acted on across child protection, education, policing, health and family law. Child safety cannot stop at the courtroom door. The attached submission calls for enforceable accountability where systems fail to protect children.</w:t>
      </w:r>
    </w:p>
    <w:p w14:paraId="4C626053" w14:textId="663BEC46" w:rsidR="008E53ED" w:rsidRPr="008E53ED" w:rsidRDefault="008E53ED" w:rsidP="008E53ED">
      <w:pPr>
        <w:rPr>
          <w:b/>
          <w:bCs/>
        </w:rPr>
      </w:pPr>
      <w:r w:rsidRPr="008E53ED">
        <w:rPr>
          <w:b/>
          <w:bCs/>
        </w:rPr>
        <w:t>Feedback for Priority Area 4: People who use violence</w:t>
      </w:r>
    </w:p>
    <w:p w14:paraId="2208215D" w14:textId="23E430A5" w:rsidR="008E53ED" w:rsidRDefault="008E53ED" w:rsidP="008E53ED">
      <w:r>
        <w:t>Please read the attached full submission and addenda. This response is intentionally concise; the attached material sets out the evidence, lived-experience analysis and detailed recommendations.</w:t>
      </w:r>
    </w:p>
    <w:p w14:paraId="1024EB36" w14:textId="77777777" w:rsidR="008E53ED" w:rsidRDefault="008E53ED" w:rsidP="008E53ED">
      <w:r>
        <w:t xml:space="preserve">Responses to people using violence must centre victim-survivor and child safety, genuine accountability and behaviour change—not mutualising abuse, reframing </w:t>
      </w:r>
      <w:r>
        <w:lastRenderedPageBreak/>
        <w:t>coercive control as parental conflict, or placing responsibility on the non-offending parent. Risk management must follow patterns of behaviour across systems and include consequences where violence continues.</w:t>
      </w:r>
    </w:p>
    <w:p w14:paraId="4D18D6EC" w14:textId="6233B9AA" w:rsidR="008E53ED" w:rsidRPr="008E53ED" w:rsidRDefault="008E53ED" w:rsidP="008E53ED">
      <w:pPr>
        <w:rPr>
          <w:b/>
          <w:bCs/>
        </w:rPr>
      </w:pPr>
      <w:r w:rsidRPr="008E53ED">
        <w:rPr>
          <w:b/>
          <w:bCs/>
        </w:rPr>
        <w:t>Feedback for Priority Area 5: System Integration and Workforce</w:t>
      </w:r>
    </w:p>
    <w:p w14:paraId="3FCEDAD9" w14:textId="756697A8" w:rsidR="008E53ED" w:rsidRDefault="008E53ED" w:rsidP="008E53ED">
      <w:r>
        <w:t>Please read the attached full submission and addenda. This response is intentionally concise; the attached material sets out the evidence, lived-experience analysis and detailed recommendations.</w:t>
      </w:r>
    </w:p>
    <w:p w14:paraId="547408F0" w14:textId="77777777" w:rsidR="008E53ED" w:rsidRDefault="008E53ED" w:rsidP="008E53ED">
      <w:r>
        <w:t>Australia’s central gap is not recognition of DFSV; it is fragmented implementation, weak measurement and lack of enforceable accountability. The attached submission proposes a whole-of-government, whole-of-system accountability architecture linking federal, state and local governments; the legislative, executive and judicial arms; and the systems people encounter. Monitoring must lead to correction and reform.</w:t>
      </w:r>
    </w:p>
    <w:p w14:paraId="2B5678C7" w14:textId="2627FD12" w:rsidR="008E53ED" w:rsidRPr="008E53ED" w:rsidRDefault="008E53ED" w:rsidP="008E53ED">
      <w:pPr>
        <w:rPr>
          <w:b/>
          <w:bCs/>
        </w:rPr>
      </w:pPr>
      <w:r w:rsidRPr="008E53ED">
        <w:rPr>
          <w:b/>
          <w:bCs/>
        </w:rPr>
        <w:t>Are there any other actions you think should be a priority to stop family, domestic and sexual violence?</w:t>
      </w:r>
    </w:p>
    <w:p w14:paraId="2D1086BC" w14:textId="6724662A" w:rsidR="008E53ED" w:rsidRDefault="008E53ED" w:rsidP="008E53ED">
      <w:r>
        <w:t>Please read the attached full submission and addenda. This response is intentionally concise; the attached material sets out the evidence, lived-experience analysis and detailed recommendations.</w:t>
      </w:r>
    </w:p>
    <w:p w14:paraId="5BBD1D50" w14:textId="7A705629" w:rsidR="008E53ED" w:rsidRPr="008E53ED" w:rsidRDefault="008E53ED" w:rsidP="008E53ED">
      <w:r>
        <w:t xml:space="preserve">Establish an immediate national inquiry into systemic failures contributing to violence, deaths and preventable harm to women and children, including the role of family law and associated professionals. This must be followed by a permanent independent DFSV systems-accountability architecture with transparent data, independent review, enforceable corrective action and public reporting. Measure. Review. </w:t>
      </w:r>
      <w:proofErr w:type="gramStart"/>
      <w:r>
        <w:t>Reform.™</w:t>
      </w:r>
      <w:proofErr w:type="gramEnd"/>
    </w:p>
    <w:sectPr w:rsidR="008E53ED" w:rsidRPr="008E53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ED"/>
    <w:rsid w:val="00022A23"/>
    <w:rsid w:val="0023679E"/>
    <w:rsid w:val="006211EA"/>
    <w:rsid w:val="008E53E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4AF3"/>
  <w15:chartTrackingRefBased/>
  <w15:docId w15:val="{2AEBB13C-CB9A-44B9-B7A6-82B92C26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3ED"/>
    <w:rPr>
      <w:rFonts w:eastAsiaTheme="majorEastAsia" w:cstheme="majorBidi"/>
      <w:color w:val="272727" w:themeColor="text1" w:themeTint="D8"/>
    </w:rPr>
  </w:style>
  <w:style w:type="paragraph" w:styleId="Title">
    <w:name w:val="Title"/>
    <w:basedOn w:val="Normal"/>
    <w:next w:val="Normal"/>
    <w:link w:val="TitleChar"/>
    <w:uiPriority w:val="10"/>
    <w:qFormat/>
    <w:rsid w:val="008E5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3ED"/>
    <w:pPr>
      <w:spacing w:before="160"/>
      <w:jc w:val="center"/>
    </w:pPr>
    <w:rPr>
      <w:i/>
      <w:iCs/>
      <w:color w:val="404040" w:themeColor="text1" w:themeTint="BF"/>
    </w:rPr>
  </w:style>
  <w:style w:type="character" w:customStyle="1" w:styleId="QuoteChar">
    <w:name w:val="Quote Char"/>
    <w:basedOn w:val="DefaultParagraphFont"/>
    <w:link w:val="Quote"/>
    <w:uiPriority w:val="29"/>
    <w:rsid w:val="008E53ED"/>
    <w:rPr>
      <w:i/>
      <w:iCs/>
      <w:color w:val="404040" w:themeColor="text1" w:themeTint="BF"/>
    </w:rPr>
  </w:style>
  <w:style w:type="paragraph" w:styleId="ListParagraph">
    <w:name w:val="List Paragraph"/>
    <w:basedOn w:val="Normal"/>
    <w:uiPriority w:val="34"/>
    <w:qFormat/>
    <w:rsid w:val="008E53ED"/>
    <w:pPr>
      <w:ind w:left="720"/>
      <w:contextualSpacing/>
    </w:pPr>
  </w:style>
  <w:style w:type="character" w:styleId="IntenseEmphasis">
    <w:name w:val="Intense Emphasis"/>
    <w:basedOn w:val="DefaultParagraphFont"/>
    <w:uiPriority w:val="21"/>
    <w:qFormat/>
    <w:rsid w:val="008E53ED"/>
    <w:rPr>
      <w:i/>
      <w:iCs/>
      <w:color w:val="0F4761" w:themeColor="accent1" w:themeShade="BF"/>
    </w:rPr>
  </w:style>
  <w:style w:type="paragraph" w:styleId="IntenseQuote">
    <w:name w:val="Intense Quote"/>
    <w:basedOn w:val="Normal"/>
    <w:next w:val="Normal"/>
    <w:link w:val="IntenseQuoteChar"/>
    <w:uiPriority w:val="30"/>
    <w:qFormat/>
    <w:rsid w:val="008E5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3ED"/>
    <w:rPr>
      <w:i/>
      <w:iCs/>
      <w:color w:val="0F4761" w:themeColor="accent1" w:themeShade="BF"/>
    </w:rPr>
  </w:style>
  <w:style w:type="character" w:styleId="IntenseReference">
    <w:name w:val="Intense Reference"/>
    <w:basedOn w:val="DefaultParagraphFont"/>
    <w:uiPriority w:val="32"/>
    <w:qFormat/>
    <w:rsid w:val="008E53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6A7F5C-6D98-488B-9CA3-1C039270A677}"/>
</file>

<file path=customXml/itemProps2.xml><?xml version="1.0" encoding="utf-8"?>
<ds:datastoreItem xmlns:ds="http://schemas.openxmlformats.org/officeDocument/2006/customXml" ds:itemID="{8A804F5E-9E50-4A7F-A61C-F2E2FB5E45C4}"/>
</file>

<file path=customXml/itemProps3.xml><?xml version="1.0" encoding="utf-8"?>
<ds:datastoreItem xmlns:ds="http://schemas.openxmlformats.org/officeDocument/2006/customXml" ds:itemID="{091D5546-6F0D-4F14-81FE-A93E4673B097}"/>
</file>

<file path=docProps/app.xml><?xml version="1.0" encoding="utf-8"?>
<Properties xmlns="http://schemas.openxmlformats.org/officeDocument/2006/extended-properties" xmlns:vt="http://schemas.openxmlformats.org/officeDocument/2006/docPropsVTypes">
  <Template>Normal.dotm</Template>
  <TotalTime>2</TotalTime>
  <Pages>2</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2026-09-04T06:35:00Z</dcterms:created>
  <dcterms:modified xsi:type="dcterms:W3CDTF">2026-09-04T06:37:00Z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