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456DF" w14:textId="5F9E1A97" w:rsidR="0023679E" w:rsidRDefault="00426B89">
      <w:pPr>
        <w:rPr>
          <w:b/>
          <w:bCs/>
        </w:rPr>
      </w:pPr>
      <w:r w:rsidRPr="00426B89">
        <w:rPr>
          <w:b/>
          <w:bCs/>
        </w:rPr>
        <w:t>The Man Cave</w:t>
      </w:r>
    </w:p>
    <w:p w14:paraId="6E0AF3DE" w14:textId="6FBE23E7" w:rsidR="00426B89" w:rsidRDefault="00426B89">
      <w:pPr>
        <w:rPr>
          <w:b/>
          <w:bCs/>
        </w:rPr>
      </w:pPr>
      <w:r w:rsidRPr="00426B89">
        <w:rPr>
          <w:b/>
          <w:bCs/>
        </w:rPr>
        <w:t>Feedback for Priority Area 1: Victim-survivors</w:t>
      </w:r>
    </w:p>
    <w:p w14:paraId="25A8CC26" w14:textId="5C16AE98" w:rsidR="00426B89" w:rsidRDefault="00426B89" w:rsidP="00426B89">
      <w:r>
        <w:t>Victim-survivor safety begins long before someone enters a specialist service. While specialist responses remain essential to safety, healing and recovery, the conditions that influence whether violence occurs, whether someone discloses, and how they are first supported are often established much earlier. Primary prevention with boys and young men is therefore not a separate agenda from victim-survivor safety, but an upstream investment in the same outcomes this Priority Area seeks to achieve.</w:t>
      </w:r>
    </w:p>
    <w:p w14:paraId="57AC9F7A" w14:textId="77777777" w:rsidR="00426B89" w:rsidRDefault="00426B89" w:rsidP="00426B89">
      <w:r>
        <w:t xml:space="preserve">The Man Cave's (TMC) contribution sits within this upstream effort. We work with boys and young men during key developmental stages to build the emotional regulation, relationship skills and attitudes that underpin respectful relationships and gender equality. </w:t>
      </w:r>
    </w:p>
    <w:p w14:paraId="146EE4B6" w14:textId="77777777" w:rsidR="00426B89" w:rsidRDefault="00426B89" w:rsidP="00426B89">
      <w:r>
        <w:t xml:space="preserve">Boys and young men are also children and young </w:t>
      </w:r>
      <w:proofErr w:type="gramStart"/>
      <w:r>
        <w:t>people in their own right, with</w:t>
      </w:r>
      <w:proofErr w:type="gramEnd"/>
      <w:r>
        <w:t xml:space="preserve"> distinct developmental needs and experiences. We join the Australian Childhood Foundation in recognising that boys are too often viewed primarily as future risks to manage, rather than as children who may themselves experience family, domestic and sexual violence. Their safety, recovery and healing needs should be recognised as a distinct priority within the Second Action Plan, with dedicated, age-appropriate responses rather than being addressed only through supports provided to parents and caregivers.</w:t>
      </w:r>
    </w:p>
    <w:p w14:paraId="7D48E857" w14:textId="77777777" w:rsidR="00426B89" w:rsidRDefault="00426B89" w:rsidP="00426B89">
      <w:r>
        <w:t>The Consultation Paper notes that most victim-survivors first disclose their experiences to someone they know before engaging with a formal service. Improving these first responses is therefore a significant opportunity to strengthen victim-survivor safety and encourage earlier access to support. Boys and young men who have learned to recognise coercive control, understand healthy relationships, respond without judgement and connect someone to appropriate support become part of a victim-survivor's safety net rather than a barrier to it. This informal safety net extends beyond peers to include fathers, educators, coaches and other trusted adults who influence boys throughout childhood and adolescence.</w:t>
      </w:r>
    </w:p>
    <w:p w14:paraId="710643B8" w14:textId="77777777" w:rsidR="00426B89" w:rsidRDefault="00426B89" w:rsidP="00426B89">
      <w:r>
        <w:t>Positive father engagement is an important part of this picture. Research from the Australian Institute of Family Studies' Ten to Men study found that men who grew up with affectionate father figures were significantly less likely to perpetrate family violence in adulthood. Supporting fathers to build healthy relationships, model respectful behaviour and engage confidently in their children's lives should therefore be recognised as an upstream contribution to victim-survivor safety, complementing specialist responses rather than competing with them.</w:t>
      </w:r>
    </w:p>
    <w:p w14:paraId="1860DC43" w14:textId="77777777" w:rsidR="00426B89" w:rsidRDefault="00426B89" w:rsidP="00426B89">
      <w:r>
        <w:t xml:space="preserve">Schools are one of the most important settings in which early disclosures occur, whether from a young person experiencing violence directly or from someone seeking </w:t>
      </w:r>
      <w:r>
        <w:lastRenderedPageBreak/>
        <w:t>advice after a disclosure from a friend. Yet referral pathways are often inconsistent, and school responses frequently rely on general youth mental health services that may not be best equipped to respond to family, domestic and sexual violence. Strengthening disclosure management protocols, referral pathways and workforce capability within schools would improve earlier access to appropriate support while complementing specialist services.</w:t>
      </w:r>
    </w:p>
    <w:p w14:paraId="56EEB7E7" w14:textId="77777777" w:rsidR="00426B89" w:rsidRDefault="00426B89" w:rsidP="00426B89">
      <w:r>
        <w:t>The Second Action Plan should also recognise the growing overlap between technology-facilitated abuse and the digital environments in which boys increasingly develop their understanding of relationships and masculinity. Exposure to online misogyny, image-based abuse, coercive control and non-consensual content shapes attitudes well before harm occurs. Investing in digital literacy, respectful online behaviour and positive role models for boys is therefore a direct contribution to reducing technology-facilitated abuse and strengthening victim-survivor safety.</w:t>
      </w:r>
    </w:p>
    <w:p w14:paraId="1F11F049" w14:textId="77777777" w:rsidR="00426B89" w:rsidRDefault="00426B89" w:rsidP="00426B89">
      <w:r>
        <w:t>Sexual violence also warrants dedicated attention within this priority area. The Consultation Paper rightly identifies that sexual violence has remained persistent even as other forms of violence have declined. Australia does not need to establish whether consent education should be delivered; it has been part of the Australian Curriculum since 2023. The challenge is implementation. Delivering consent education consistently, through approaches that move beyond cognitive understanding towards embodied respect for boundaries, communication and healthy relationships, represents an important opportunity to strengthen prevention and reduce future victimisation.</w:t>
      </w:r>
    </w:p>
    <w:p w14:paraId="0E3BF26B" w14:textId="77777777" w:rsidR="00426B89" w:rsidRDefault="00426B89" w:rsidP="00426B89">
      <w:r>
        <w:t>Finally, prevention must reflect the diversity of Australia's communities. Effective approaches should be co-designed with Aboriginal and Torres Strait Islander, culturally and linguistically diverse, LGBTIQA+ and disability communities to ensure they reflect different experiences of violence, help-seeking and recovery, rather than assuming a single pathway for all victim-survivors.</w:t>
      </w:r>
    </w:p>
    <w:p w14:paraId="2CCFBACE" w14:textId="77777777" w:rsidR="00426B89" w:rsidRDefault="00426B89" w:rsidP="00426B89">
      <w:r>
        <w:t>Prevention, early disclosure and timely support all reduce harm, and Australia has the evidence to prove it. What victim-survivors need now is for that evidence to reach them consistently, through properly funded services rather than isolated programs that depend on where they happen to live.</w:t>
      </w:r>
    </w:p>
    <w:p w14:paraId="383E32B3" w14:textId="77777777" w:rsidR="00426B89" w:rsidRDefault="00426B89" w:rsidP="00426B89">
      <w:r>
        <w:t>We recommend the Second Action Plan:</w:t>
      </w:r>
    </w:p>
    <w:p w14:paraId="452BC9E7" w14:textId="77777777" w:rsidR="00426B89" w:rsidRDefault="00426B89" w:rsidP="00426B89">
      <w:r>
        <w:t>Recognise primary prevention with boys and young men, alongside father-inclusive engagement, as an upstream, gender-specific contributor to victim-survivor safety.</w:t>
      </w:r>
    </w:p>
    <w:p w14:paraId="3BED8AB2" w14:textId="77777777" w:rsidR="00426B89" w:rsidRDefault="00426B89" w:rsidP="00426B89">
      <w:r>
        <w:t>Recognise children and young people's safety, recovery and healing needs as a distinct priority, with dedicated responses for boys who experience family, domestic and sexual violence.</w:t>
      </w:r>
    </w:p>
    <w:p w14:paraId="22EE9819" w14:textId="77777777" w:rsidR="00426B89" w:rsidRDefault="00426B89" w:rsidP="00426B89">
      <w:r>
        <w:lastRenderedPageBreak/>
        <w:t>Strengthen early disclosure pathways by supporting schools with clear disclosure management protocols, workforce capability and referral pathways to specialist family, domestic and sexual violence services.</w:t>
      </w:r>
    </w:p>
    <w:p w14:paraId="364DAADC" w14:textId="77777777" w:rsidR="00426B89" w:rsidRDefault="00426B89" w:rsidP="00426B89">
      <w:r>
        <w:t>Invest in digital literacy, respectful relationships and consent education for boys as a core component of Australia's response to technology-facilitated abuse and sexual violence.</w:t>
      </w:r>
    </w:p>
    <w:p w14:paraId="17AE9DE0" w14:textId="77777777" w:rsidR="00426B89" w:rsidRDefault="00426B89" w:rsidP="00426B89">
      <w:r>
        <w:t>Ensure prevention initiatives are co-designed with Aboriginal and Torres Strait Islander, culturally and linguistically diverse, LGBTIQA+, disability and other priority communities to improve equity, access and effectiveness.</w:t>
      </w:r>
    </w:p>
    <w:p w14:paraId="7EF3CBE8" w14:textId="3F409CEA" w:rsidR="00426B89" w:rsidRPr="00426B89" w:rsidRDefault="00426B89" w:rsidP="00426B89">
      <w:pPr>
        <w:rPr>
          <w:b/>
          <w:bCs/>
        </w:rPr>
      </w:pPr>
      <w:r w:rsidRPr="00426B89">
        <w:rPr>
          <w:b/>
          <w:bCs/>
        </w:rPr>
        <w:t>Feedback for Priority Area 2: Prevention and early intervention</w:t>
      </w:r>
    </w:p>
    <w:p w14:paraId="5CA0811A" w14:textId="20EB539F" w:rsidR="00426B89" w:rsidRDefault="00426B89" w:rsidP="00426B89">
      <w:r>
        <w:t>Violence prevention is a developmental process, not a single educational event. Boys develop their understanding of relationships, identity and masculinity over many years and across multiple environments. Effective prevention must therefore be sustained, developmentally appropriate and reinforced across the settings where boys live, learn, connect and increasingly spend their time online. This principle sits at the heart of The Man Cave's (TMC) Theory of Change and directly informs our recommendations for the Second Action Plan.</w:t>
      </w:r>
    </w:p>
    <w:p w14:paraId="1485B1B8" w14:textId="77777777" w:rsidR="00426B89" w:rsidRDefault="00426B89" w:rsidP="00426B89">
      <w:r>
        <w:t>The Man Cave is Australia's leading preventative mental health charity for boys and young men, delivering evidence-informed programs to more than 115,000 boys since 2014. Our work exists to strengthen, not substitute for, the National Plan's investment in women and girls. Primary prevention with boys and young men is an upstream investment in the long-term safety of women and children, focused on healthy masculinities: ways of understanding identity and relationships that reject coercive control, emotional suppression and violence in favour of respect, accountability and emotional literacy.</w:t>
      </w:r>
    </w:p>
    <w:p w14:paraId="67FF8934" w14:textId="77777777" w:rsidR="00426B89" w:rsidRDefault="00426B89" w:rsidP="00426B89">
      <w:r>
        <w:t xml:space="preserve">A strong and growing evidence base demonstrates that primary prevention with boys and young men can shift attitudes, behaviours and relationship skills associated with violence. The challenge is no longer proving prevention works, but ensuring governments commission, fund and scale evidence-informed approaches consistently. This is reflected in the Consultation Paper's finding that younger men are considerably more likely than older men to agree that men should use violence to gain </w:t>
      </w:r>
      <w:proofErr w:type="gramStart"/>
      <w:r>
        <w:t>respect</w:t>
      </w:r>
      <w:proofErr w:type="gramEnd"/>
      <w:r>
        <w:t xml:space="preserve"> if necessary, alongside Jesuit Social Services' Adolescent Man Box study, which found fathers (59%), mothers (48%) and male friends (42%) shape boys' attitudes towards masculinity far more than social media influencers (22%). These findings reinforce that prevention must reach the real-world relationships shaping boys throughout childhood and adolescence, not rely on isolated educational interventions. </w:t>
      </w:r>
    </w:p>
    <w:p w14:paraId="513F73EB" w14:textId="77777777" w:rsidR="00426B89" w:rsidRDefault="00426B89" w:rsidP="00426B89">
      <w:r>
        <w:lastRenderedPageBreak/>
        <w:t>No single setting can prevent violence alone. Boys need to encounter consistent messages about healthy relationships across the environments in which they develop.</w:t>
      </w:r>
    </w:p>
    <w:p w14:paraId="0A4EEB05" w14:textId="77777777" w:rsidR="00426B89" w:rsidRDefault="00426B89" w:rsidP="00426B89">
      <w:r>
        <w:t xml:space="preserve">Schools remain the cornerstone of universal prevention, yet access to evidence-based healthy masculinities education continues to depend on postcode and individual school leadership. We recommend the Second Action Plan commission a national review of how respectful relationships education and student wellbeing programs are currently funded, delivered and supported across jurisdictions. This would provide an evidence-informed foundation for future investment while informing national principles and sustainable funding for whole-of-school approaches that combine specialist program delivery with educator professional development. </w:t>
      </w:r>
    </w:p>
    <w:p w14:paraId="109AE0D5" w14:textId="77777777" w:rsidR="00426B89" w:rsidRDefault="00426B89" w:rsidP="00426B89">
      <w:r>
        <w:t>Prevention must also extend beyond the classroom. Sporting clubs, youth organisations and other trusted community settings provide powerful opportunities to reinforce healthy norms, yet many have experienced declining investment while relying heavily on volunteers to deliver increasingly complex prevention work. Governments should invest in the workforce capability, infrastructure and safeguarding needed to enable these settings to become genuine partners in Australia's prevention system.</w:t>
      </w:r>
    </w:p>
    <w:p w14:paraId="20AFFFD5" w14:textId="77777777" w:rsidR="00426B89" w:rsidRDefault="00426B89" w:rsidP="00426B89">
      <w:r>
        <w:t xml:space="preserve">Digital environments still represent another critical prevention setting. Research from the </w:t>
      </w:r>
      <w:proofErr w:type="spellStart"/>
      <w:r>
        <w:t>Movember</w:t>
      </w:r>
      <w:proofErr w:type="spellEnd"/>
      <w:r>
        <w:t xml:space="preserve"> Institute's Young Men's Health in a Digital World study found that nearly two-thirds of young men engage with masculinity influencers online, while separate </w:t>
      </w:r>
      <w:proofErr w:type="spellStart"/>
      <w:r>
        <w:t>Movember</w:t>
      </w:r>
      <w:proofErr w:type="spellEnd"/>
      <w:r>
        <w:t xml:space="preserve"> research shows young men spend more than four hours each day across gaming, social media and short-form video. This time spent online does not disappear under the under-16 social media ban. Restricting access without building credible alternatives risks leaving a vacuum that harmful voices will readily fill. We recommend establishing a Healthy Digital Role Models Fund that redirects government communications investment into partnerships with trusted creators who already engage young men, alongside platform-level reforms, including an opt-in default for algorithmically curated feeds, consistent with Teach Us Consent's Fix Our Feeds campaign.</w:t>
      </w:r>
    </w:p>
    <w:p w14:paraId="1AF6478D" w14:textId="77777777" w:rsidR="00426B89" w:rsidRDefault="00426B89" w:rsidP="00426B89">
      <w:r>
        <w:t>Governments, schools, families, community organisations, workplaces and online platforms all have complementary roles to play in preventing violence. The greatest impact will come when prevention messages are reinforced consistently across these environments rather than delivered through isolated campaigns or one-off educational sessions.</w:t>
      </w:r>
    </w:p>
    <w:p w14:paraId="7523B666" w14:textId="77777777" w:rsidR="00426B89" w:rsidRDefault="00426B89" w:rsidP="00426B89">
      <w:r>
        <w:t xml:space="preserve">Effective prevention must also reflect the diversity of the communities it serves. Programs should be co-designed with Aboriginal and Torres Strait Islander, culturally and linguistically diverse, disability, low socio-economic, rural and remote, and LGBTIQA+ communities to ensure they reflect different experiences, strengths and barriers. This includes recognising the potential unintended consequences of the </w:t>
      </w:r>
      <w:r>
        <w:lastRenderedPageBreak/>
        <w:t>under-16 social media ban for LGBTIQA+ young people who rely on online communities for connection and identity. Boys and young men themselves should also be genuine partners in designing, implementing and evaluating the policies intended to support them.</w:t>
      </w:r>
    </w:p>
    <w:p w14:paraId="76196083" w14:textId="77777777" w:rsidR="00426B89" w:rsidRDefault="00426B89" w:rsidP="00426B89">
      <w:r>
        <w:t>Finally, strengthening prevention requires strengthening the evidence base itself. Continued investment in longitudinal research examining gender as a determinant of health and violence prevention outcomes will help governments make better-informed investment decisions over time. This should build on the Department's Healthy Masculinities Trial and Evaluation and include further consideration of Teach Us Consent's recommendation for a national study examining the profile, pathways and drivers of people who use violence.</w:t>
      </w:r>
    </w:p>
    <w:p w14:paraId="46986C5D" w14:textId="77777777" w:rsidR="00426B89" w:rsidRDefault="00426B89" w:rsidP="00426B89">
      <w:r>
        <w:t>Australia needs to invest in extending and scaling the evidence-informed approaches already demonstrating positive outcomes, while ensuring prevention work is sustained, developmentally appropriate and reinforced across the settings where boys grow, learn and form their understanding of relationships.</w:t>
      </w:r>
    </w:p>
    <w:p w14:paraId="6081FF7A" w14:textId="77777777" w:rsidR="00426B89" w:rsidRDefault="00426B89" w:rsidP="00426B89">
      <w:r>
        <w:t>We recommend the Second Action Plan:</w:t>
      </w:r>
    </w:p>
    <w:p w14:paraId="7632E766" w14:textId="77777777" w:rsidR="00426B89" w:rsidRDefault="00426B89" w:rsidP="00426B89">
      <w:r>
        <w:t>Recognise sustained, sequenced engagement with boys and young men as a fundamental component of Australia's primary prevention system.</w:t>
      </w:r>
    </w:p>
    <w:p w14:paraId="19E42C78" w14:textId="77777777" w:rsidR="00426B89" w:rsidRDefault="00426B89" w:rsidP="00426B89">
      <w:r>
        <w:t>Commission a national review of how respectful relationships education and student wellbeing programs are funded, delivered and supported across jurisdictions to guide future investment and strengthen educator capability.</w:t>
      </w:r>
    </w:p>
    <w:p w14:paraId="618AA72C" w14:textId="77777777" w:rsidR="00426B89" w:rsidRDefault="00426B89" w:rsidP="00426B89">
      <w:r>
        <w:t>Establish national principles, quality standards and sustainable funding for whole-of-school healthy masculinities approaches, including minimum expectations for facilitator training, supervision and program fidelity.</w:t>
      </w:r>
    </w:p>
    <w:p w14:paraId="1F3C29F0" w14:textId="77777777" w:rsidR="00426B89" w:rsidRDefault="00426B89" w:rsidP="00426B89">
      <w:r>
        <w:t>Invest in trusted community settings, including sporting clubs, youth organisations and other third spaces, to build the workforce, capability and infrastructure required to deliver sustained prevention beyond the classroom.</w:t>
      </w:r>
    </w:p>
    <w:p w14:paraId="6221A5B1" w14:textId="77777777" w:rsidR="00426B89" w:rsidRDefault="00426B89" w:rsidP="00426B89">
      <w:r>
        <w:t>Establish a Healthy Digital Role Models Fund and support platform-level reforms, including an opt-in default for algorithmically curated feeds, consistent with Teach Us Consent's Fix Our Feeds campaign.</w:t>
      </w:r>
    </w:p>
    <w:p w14:paraId="3FDE5868" w14:textId="77777777" w:rsidR="00426B89" w:rsidRDefault="00426B89" w:rsidP="00426B89">
      <w:r>
        <w:t>Ensure prevention initiatives are co-designed with Aboriginal and Torres Strait Islander, culturally and linguistically diverse, disability, low socio-economic, rural and remote, and LGBTIQA+ communities.</w:t>
      </w:r>
    </w:p>
    <w:p w14:paraId="4FF27734" w14:textId="77777777" w:rsidR="00426B89" w:rsidRDefault="00426B89" w:rsidP="00426B89">
      <w:r>
        <w:t>Embed the voices of boys and young men in the design, implementation and evaluation of prevention policy.</w:t>
      </w:r>
    </w:p>
    <w:p w14:paraId="7E746228" w14:textId="77777777" w:rsidR="00426B89" w:rsidRDefault="00426B89" w:rsidP="00426B89">
      <w:r>
        <w:lastRenderedPageBreak/>
        <w:t>Invest in longitudinal research examining gender as a determinant of health and violence prevention outcomes, building on the Department's Healthy Masculinities Trial and Evaluation.</w:t>
      </w:r>
    </w:p>
    <w:p w14:paraId="152DE541" w14:textId="2C31002F" w:rsidR="00426B89" w:rsidRPr="00426B89" w:rsidRDefault="00426B89" w:rsidP="00426B89">
      <w:pPr>
        <w:rPr>
          <w:b/>
          <w:bCs/>
        </w:rPr>
      </w:pPr>
      <w:r w:rsidRPr="00426B89">
        <w:rPr>
          <w:b/>
          <w:bCs/>
        </w:rPr>
        <w:t>Feedback for Priority Area 3: Children and young people in their own right</w:t>
      </w:r>
    </w:p>
    <w:p w14:paraId="23D3F589" w14:textId="51E68FF7" w:rsidR="00426B89" w:rsidRDefault="00426B89" w:rsidP="00426B89">
      <w:r>
        <w:t xml:space="preserve">Children and young people are not simply future adults or future risks to manage, they are people whose safety, recovery, relationships and understanding of the world are being shaped every day. We welcome this Priority Area's recognition that children and young people are </w:t>
      </w:r>
      <w:proofErr w:type="gramStart"/>
      <w:r>
        <w:t>people in their own right, with</w:t>
      </w:r>
      <w:proofErr w:type="gramEnd"/>
      <w:r>
        <w:t xml:space="preserve"> distinct developmental needs, experiences and voices. Improving safety, recovery and wellbeing therefore </w:t>
      </w:r>
      <w:proofErr w:type="gramStart"/>
      <w:r>
        <w:t>requires</w:t>
      </w:r>
      <w:proofErr w:type="gramEnd"/>
      <w:r>
        <w:t xml:space="preserve"> investment that supports children early, responds to the harms they experience today, and recognises their capacity to shape safer futures.</w:t>
      </w:r>
    </w:p>
    <w:p w14:paraId="157F54F9" w14:textId="77777777" w:rsidR="00426B89" w:rsidRDefault="00426B89" w:rsidP="00426B89">
      <w:r>
        <w:t xml:space="preserve">The Man Cave's (TMC) work with boys and young men exists to strengthen, not substitute for, the investment this National Plan makes in women and girls. We work with boys from age 10 to 25 because childhood and adolescence represent a critical window for prevention, identity formation and behaviour change. We join the Australian Childhood Foundation and Melbourne City Mission in supporting a Second Action Plan that centres children and young people of all genders as </w:t>
      </w:r>
      <w:proofErr w:type="gramStart"/>
      <w:r>
        <w:t>victim-survivors in their own right, grounded</w:t>
      </w:r>
      <w:proofErr w:type="gramEnd"/>
      <w:r>
        <w:t xml:space="preserve"> in self-determination and First Nations leadership. This aligns with Respect Victoria's assessment that current policy too often positions children and young people as passive recipients of violence experienced by their mothers, rather than recognising the distinct and complex forms of violence they experience themselves, including adolescent violence in the home and gendered violence within emerging intimate relationships.</w:t>
      </w:r>
    </w:p>
    <w:p w14:paraId="50EBA3E1" w14:textId="77777777" w:rsidR="00426B89" w:rsidRDefault="00426B89" w:rsidP="00426B89">
      <w:r>
        <w:t xml:space="preserve">Recognising children and young people </w:t>
      </w:r>
      <w:proofErr w:type="gramStart"/>
      <w:r>
        <w:t>in their own right also</w:t>
      </w:r>
      <w:proofErr w:type="gramEnd"/>
      <w:r>
        <w:t xml:space="preserve"> means investing in their healthy development before harm becomes entrenched. Australia already knows that sustained engagement with boys can shift the attitudes associated with future violence. The Consultation Paper highlights that younger men are considerably more likely than older men to agree that men should use violence to gain respect if necessary, pointing to adolescence as a critical period for intervention. TMC's own program data reflects this opportunity, with boys completing our final program level recording a 40% reduction in agreement with this belief. Prevention should therefore be understood as a sustained developmental process rather than a single educational intervention.</w:t>
      </w:r>
    </w:p>
    <w:p w14:paraId="7AFADD41" w14:textId="77777777" w:rsidR="00426B89" w:rsidRDefault="00426B89" w:rsidP="00426B89">
      <w:r>
        <w:t xml:space="preserve">There is also an earlier opportunity that current policy does not yet fully address. Positive, engaged father figures play a measurable protective role in children's </w:t>
      </w:r>
      <w:proofErr w:type="spellStart"/>
      <w:r>
        <w:t>developmentResearch</w:t>
      </w:r>
      <w:proofErr w:type="spellEnd"/>
      <w:r>
        <w:t xml:space="preserve"> from the Australian Institute of Family Studies' Ten to Men longitudinal study shows men who grew up with affectionate fathers are significantly less likely to perpetrate family violence in adulthood, while research from the Adolescent Man Box found that boys themselves identify fathers as the single greatest </w:t>
      </w:r>
      <w:r>
        <w:lastRenderedPageBreak/>
        <w:t>influence on their understanding of masculinity, ahead of mothers, friends and online influencers. We do not deliver services in this space and raise it as a systems gap for government: strengthening pre- and post-natal support for fathers represents an important, gender-specific investment that begins shaping children's understanding of healthy relationships long before formal prevention education commences.</w:t>
      </w:r>
    </w:p>
    <w:p w14:paraId="050703BF" w14:textId="77777777" w:rsidR="00426B89" w:rsidRDefault="00426B89" w:rsidP="00426B89">
      <w:r>
        <w:t>Governments also need to respond to the realities children and young people face today. Technology-facilitated abuse, violent pornography, deepfakes, image-based abuse and harmful behaviours within peer and dating relationships are increasingly shaping children's experiences of safety. Information alone is rarely enough to change behaviour. Boys need developmentally appropriate opportunities to practise communication, empathy, emotional regulation and respect through trusted, facilitated programs that can adapt to rapidly evolving digital harms.</w:t>
      </w:r>
    </w:p>
    <w:p w14:paraId="7927770C" w14:textId="77777777" w:rsidR="00426B89" w:rsidRDefault="00426B89" w:rsidP="00426B89">
      <w:r>
        <w:t xml:space="preserve">We also support the Consultation Paper's recognition that some children and young people use violence themselves, including harmful sexual behaviours, and that simplistic victim-or-perpetrator frameworks fail to reflect this complexity. Effective responses combine accountability with developmentally appropriate behaviour change, recognising that children displaying harmful behaviours remain children whose attitudes, relationships and futures are still open to change. Early behaviour-change programs should be recognised as prevention </w:t>
      </w:r>
      <w:proofErr w:type="gramStart"/>
      <w:r>
        <w:t>infrastructure in their own right, rather</w:t>
      </w:r>
      <w:proofErr w:type="gramEnd"/>
      <w:r>
        <w:t xml:space="preserve"> than relying primarily on justice or clinical responses after harm has occurred.</w:t>
      </w:r>
    </w:p>
    <w:p w14:paraId="7A0EFE31" w14:textId="77777777" w:rsidR="00426B89" w:rsidRDefault="00426B89" w:rsidP="00426B89">
      <w:r>
        <w:t>Finally, children and young people should be genuine partners in shaping the policies, programs and services that affect them. Governments should establish structured, ongoing mechanisms that enable meaningful participation from diverse groups of young people, including boys and young men, whose perspectives are often assumed rather than actively sought. We also support the Australian Childhood Foundation and Melbourne City Mission's recommendation for a dedicated, transparent funding stream for children and young people's safety and recovery, sitting alongside rather than being absorbed into broader family violence, child protection or mental health funding. All prevention and recovery initiatives should be co-designed with Aboriginal and Torres Strait Islander, culturally and linguistically diverse, LGBTIQA+ and disability communities.</w:t>
      </w:r>
    </w:p>
    <w:p w14:paraId="2C3AA14D" w14:textId="77777777" w:rsidR="00426B89" w:rsidRDefault="00426B89" w:rsidP="00426B89">
      <w:r>
        <w:t xml:space="preserve">Australia does not need to wait until adulthood to prevent violence. The greatest opportunity to improve children's safety, recovery and wellbeing lies in recognising children and young people as </w:t>
      </w:r>
      <w:proofErr w:type="gramStart"/>
      <w:r>
        <w:t>people in their own right, investing</w:t>
      </w:r>
      <w:proofErr w:type="gramEnd"/>
      <w:r>
        <w:t xml:space="preserve"> in their development early, responding to the harms they experience today, and supporting them while their attitudes, relationships and futures are still being shaped.</w:t>
      </w:r>
    </w:p>
    <w:p w14:paraId="604AD86B" w14:textId="77777777" w:rsidR="00426B89" w:rsidRDefault="00426B89" w:rsidP="00426B89">
      <w:r>
        <w:t>We recommend the Second Action Plan:</w:t>
      </w:r>
    </w:p>
    <w:p w14:paraId="325D6BB8" w14:textId="77777777" w:rsidR="00426B89" w:rsidRDefault="00426B89" w:rsidP="00426B89">
      <w:r>
        <w:lastRenderedPageBreak/>
        <w:t>Recognise sustained, developmentally appropriate engagement with boys from late primary school through adolescence as a critical component of preventing future violence</w:t>
      </w:r>
    </w:p>
    <w:p w14:paraId="44FA4C6F" w14:textId="77777777" w:rsidR="00426B89" w:rsidRDefault="00426B89" w:rsidP="00426B89">
      <w:r>
        <w:t>Strengthen pre- and post-natal support for fathers as a distinct, gender-specific national investment that supports children's healthy development from the earliest years</w:t>
      </w:r>
    </w:p>
    <w:p w14:paraId="515308F4" w14:textId="77777777" w:rsidR="00426B89" w:rsidRDefault="00426B89" w:rsidP="00426B89">
      <w:r>
        <w:t>Invest in developmentally appropriate education addressing technology-facilitated abuse, violent pornography, peer and dating violence, and other emerging harms through approaches that build practical skills alongside knowledge</w:t>
      </w:r>
    </w:p>
    <w:p w14:paraId="798B4F2E" w14:textId="77777777" w:rsidR="00426B89" w:rsidRDefault="00426B89" w:rsidP="00426B89">
      <w:r>
        <w:t>Recognise early behaviour-change programs for children and young people displaying harmful behaviours as prevention infrastructure, alongside justice and clinical responses</w:t>
      </w:r>
    </w:p>
    <w:p w14:paraId="7069900B" w14:textId="77777777" w:rsidR="00426B89" w:rsidRDefault="00426B89" w:rsidP="00426B89">
      <w:r>
        <w:t>Embed structured, ongoing mechanisms for children and young people, including boys and young men, to participate in the design, implementation and evaluation of policy, programs and services</w:t>
      </w:r>
    </w:p>
    <w:p w14:paraId="1CC7EB69" w14:textId="77777777" w:rsidR="00426B89" w:rsidRDefault="00426B89" w:rsidP="00426B89">
      <w:r>
        <w:t>Establish a dedicated, transparent funding stream for children and young people's safety and recovery, alongside prevention approaches that actively enable disclosure and early support</w:t>
      </w:r>
    </w:p>
    <w:p w14:paraId="36F267A6" w14:textId="77777777" w:rsidR="00426B89" w:rsidRDefault="00426B89" w:rsidP="00426B89">
      <w:r>
        <w:t>Ensure all policies, prevention initiatives and recovery supports are co-designed with Aboriginal and Torres Strait Islander, culturally and linguistically diverse, LGBTIQA+ and disability communities</w:t>
      </w:r>
    </w:p>
    <w:p w14:paraId="02E96354" w14:textId="44A7C794" w:rsidR="00426B89" w:rsidRPr="00426B89" w:rsidRDefault="00426B89" w:rsidP="00426B89">
      <w:pPr>
        <w:rPr>
          <w:b/>
          <w:bCs/>
        </w:rPr>
      </w:pPr>
      <w:r w:rsidRPr="00426B89">
        <w:rPr>
          <w:b/>
          <w:bCs/>
        </w:rPr>
        <w:t>Feedback for Priority Area 4: People who use violence</w:t>
      </w:r>
    </w:p>
    <w:p w14:paraId="3C9EE6E6" w14:textId="0C7F18DC" w:rsidR="00426B89" w:rsidRDefault="00426B89" w:rsidP="00426B89">
      <w:r>
        <w:t xml:space="preserve">Violence rarely begins with a criminal </w:t>
      </w:r>
      <w:proofErr w:type="gramStart"/>
      <w:r>
        <w:t>offence,</w:t>
      </w:r>
      <w:proofErr w:type="gramEnd"/>
      <w:r>
        <w:t xml:space="preserve"> it develops over time. By the time someone enters the justice system, countless opportunities to prevent violence have already been missed. While specialist behaviour change programs and justice responses remain essential, opportunities to prevent violence are greatest much earlier, while attitudes, behaviours and relationship patterns are still developing. Australia needs a coordinated response that spans the full continuum, from primary prevention and early identification through to specialist intervention and justice responses, with victim-survivor safety and accountability remaining paramount at every stage.</w:t>
      </w:r>
    </w:p>
    <w:p w14:paraId="370CD188" w14:textId="77777777" w:rsidR="00426B89" w:rsidRDefault="00426B89" w:rsidP="00426B89">
      <w:r>
        <w:t>The Man Cave's (TMC) contribution sits within this upstream part of the continuum. We strongly support specialist perpetrator interventions that prioritise victim-survivor safety and hold people who use violence accountable. Our expertise is not in responding to adults who have already entered the justice system, but in reducing the number of boys and young men who require these responses in the future through evidence-informed prevention and early intervention.</w:t>
      </w:r>
    </w:p>
    <w:p w14:paraId="01CF2F4B" w14:textId="77777777" w:rsidR="00426B89" w:rsidRDefault="00426B89" w:rsidP="00426B89">
      <w:r>
        <w:lastRenderedPageBreak/>
        <w:t>The Consultation Paper notes that many people who use violence never engage with formal behaviour change programs, often because of shame, stigma or limited pathways into support. This reinforces the importance of intervening earlier, while attitudes remain more adaptable and before patterns of behaviour become entrenched. Programs that engage boys and young men in honest conversations about power, accountability, respect and healthy relationships, without relying on shame, create stronger foundations for long-term behaviour change.</w:t>
      </w:r>
    </w:p>
    <w:p w14:paraId="0455FE68" w14:textId="77777777" w:rsidR="00426B89" w:rsidRDefault="00426B89" w:rsidP="00426B89">
      <w:r>
        <w:t>One of the clearest gaps in Australia's current response is the absence of developmentally appropriate behaviour change pathways for adolescents. While specialist behaviour change programs exist for adults, there is no equivalent nationally coordinated approach for adolescent boys already displaying concerning attitudes, harmful behaviours or harmful sexual behaviours. Governments should establish and evaluate an adolescent-specific behaviour change model that combines accountability with developmentally appropriate support, recognising that intervening during adolescence offers a far greater opportunity to change trajectories than waiting until adulthood.</w:t>
      </w:r>
    </w:p>
    <w:p w14:paraId="720D8B10" w14:textId="77777777" w:rsidR="00426B89" w:rsidRDefault="00426B89" w:rsidP="00426B89">
      <w:r>
        <w:t>Responding earlier also requires stronger pathways for recognising and responding to emerging concerns. Families, schools, sporting clubs, youth organisations and other trusted community settings are often the first to notice changes in behaviour, yet there is no nationally consistent pathway for responding when concerns arise before criminal offending has occurred. Strengthening workforce capability, referral pathways and access to specialist support would enable earlier intervention while maintaining a clear focus on victim-survivor safety.</w:t>
      </w:r>
    </w:p>
    <w:p w14:paraId="0C9CC6E3" w14:textId="77777777" w:rsidR="00426B89" w:rsidRDefault="00426B89" w:rsidP="00426B89">
      <w:r>
        <w:t>Supporting accountability requires more than increasing knowledge alone. Effective behaviour change builds emotional literacy, empathy, respect for boundaries and the confidence to challenge harmful peer behaviour. Building trust should never dilute accountability, rather, it creates the conditions in which people are more willing to acknowledge harm, take responsibility and sustain meaningful behaviour change. This is particularly important in adolescence, when identity, relationships and attitudes remain highly responsive to skilled intervention.</w:t>
      </w:r>
    </w:p>
    <w:p w14:paraId="7586B42D" w14:textId="77777777" w:rsidR="00426B89" w:rsidRDefault="00426B89" w:rsidP="00426B89">
      <w:r>
        <w:t>Sexual violence should continue to receive dedicated attention within this priority area given its distinct drivers and the growing influence of violent pornography, technology-facilitated abuse and image-based abuse on young people's understanding of relationships and consent. Responses should combine accountability with prevention, recognising that early intervention offers opportunities to reduce future harm before behaviours escalate.</w:t>
      </w:r>
    </w:p>
    <w:p w14:paraId="4BBB07A6" w14:textId="77777777" w:rsidR="00426B89" w:rsidRDefault="00426B89" w:rsidP="00426B89">
      <w:r>
        <w:t xml:space="preserve">As Canadian violence prevention and men's health leaders Lana Wells, Jake Stika, Kim Ruse, Jeff St. John and Kerrie Isaac recently argued in The Hill Times in June 2026, </w:t>
      </w:r>
      <w:r>
        <w:lastRenderedPageBreak/>
        <w:t>addressing male violence or mental health only after it escalates into crisis does not work; by the time men enter the justice system, trajectories of harm are often already deeply established. Many of the factors associated with violence, including rigid gender norms, adverse childhood experiences, social isolation and stigma around help-seeking, also contribute to poorer health and wellbeing outcomes for boys and men. Addressing these interconnected drivers earlier provides an opportunity to reduce both violence and broader harms, while maintaining a clear distinction between supporting wellbeing and holding people accountable for their use of violence.</w:t>
      </w:r>
    </w:p>
    <w:p w14:paraId="61215B52" w14:textId="77777777" w:rsidR="00426B89" w:rsidRDefault="00426B89" w:rsidP="00426B89">
      <w:r>
        <w:t>Responses must also be culturally safe, accessible and responsive to diversity. Aboriginal and Torres Strait Islander, culturally and linguistically diverse, LGBTIQA+ and disability communities may face different barriers to recognising harmful behaviours, accessing support and engaging with services. Prevention, early intervention and behaviour change responses should therefore be designed in genuine partnership with these communities.</w:t>
      </w:r>
    </w:p>
    <w:p w14:paraId="57B947D5" w14:textId="77777777" w:rsidR="00426B89" w:rsidRDefault="00426B89" w:rsidP="00426B89">
      <w:r>
        <w:t>Finally, strengthening Australia's response requires strengthening the evidence base itself. We support further consideration of Teach Us Consent's recommendation for a national study examining the profile, pathways and drivers of people who use violence. Better evidence will enable governments to invest more confidently in prevention, early intervention and specialist responses across the full continuum.</w:t>
      </w:r>
    </w:p>
    <w:p w14:paraId="7A05978F" w14:textId="77777777" w:rsidR="00426B89" w:rsidRDefault="00426B89" w:rsidP="00426B89">
      <w:r>
        <w:t>We recommend the Second Action Plan:</w:t>
      </w:r>
    </w:p>
    <w:p w14:paraId="43943957" w14:textId="77777777" w:rsidR="00426B89" w:rsidRDefault="00426B89" w:rsidP="00426B89">
      <w:r>
        <w:t>Recognise primary prevention with boys and young men as a fundamental, gender-specific component of Australia's response to reducing future perpetration, alongside specialist behaviour change and justice responses</w:t>
      </w:r>
    </w:p>
    <w:p w14:paraId="2868AA21" w14:textId="77777777" w:rsidR="00426B89" w:rsidRDefault="00426B89" w:rsidP="00426B89">
      <w:r>
        <w:t>Establish and evaluate an adolescent-specific behaviour change model, distinct from adult perpetrator programs, for boys displaying concerning attitudes, harmful behaviours or harmful sexual behaviours</w:t>
      </w:r>
    </w:p>
    <w:p w14:paraId="52538090" w14:textId="77777777" w:rsidR="00426B89" w:rsidRDefault="00426B89" w:rsidP="00426B89">
      <w:r>
        <w:t>Develop nationally consistent early identification, referral and support pathways for schools, families, sporting clubs and community organisations responding to boys and young men displaying concerning behaviours before justice system involvement</w:t>
      </w:r>
    </w:p>
    <w:p w14:paraId="68780693" w14:textId="77777777" w:rsidR="00426B89" w:rsidRDefault="00426B89" w:rsidP="00426B89">
      <w:r>
        <w:t>Support behaviour change approaches that combine accountability with developmentally appropriate engagement, recognising trust as an enabler of sustained accountability rather than an alternative to it</w:t>
      </w:r>
    </w:p>
    <w:p w14:paraId="5FA135AE" w14:textId="77777777" w:rsidR="00426B89" w:rsidRDefault="00426B89" w:rsidP="00426B89">
      <w:r>
        <w:t>Continue dedicated investment in sexual violence prevention addressing consent, boundaries, technology-facilitated abuse and harmful online content</w:t>
      </w:r>
    </w:p>
    <w:p w14:paraId="46952CDA" w14:textId="77777777" w:rsidR="00426B89" w:rsidRDefault="00426B89" w:rsidP="00426B89">
      <w:r>
        <w:t>Ensure prevention, early intervention and behaviour change responses are culturally safe and co-designed with Aboriginal and Torres Strait Islander, culturally and linguistically diverse, disability and LGBTIQA+ communities</w:t>
      </w:r>
    </w:p>
    <w:p w14:paraId="1B75011E" w14:textId="77777777" w:rsidR="00426B89" w:rsidRDefault="00426B89" w:rsidP="00426B89">
      <w:r>
        <w:lastRenderedPageBreak/>
        <w:t>Support further consideration of a national study into the profile, pathways and drivers of people who use violence, consistent with Teach Us Consent's recommendation</w:t>
      </w:r>
    </w:p>
    <w:p w14:paraId="303586F5" w14:textId="09EED261" w:rsidR="00426B89" w:rsidRPr="00426B89" w:rsidRDefault="00426B89" w:rsidP="00426B89">
      <w:pPr>
        <w:rPr>
          <w:b/>
          <w:bCs/>
        </w:rPr>
      </w:pPr>
      <w:r w:rsidRPr="00426B89">
        <w:rPr>
          <w:b/>
          <w:bCs/>
        </w:rPr>
        <w:t>Feedback for Priority Area 5: System Integration and Workforce</w:t>
      </w:r>
    </w:p>
    <w:p w14:paraId="63E67C76" w14:textId="72B8A241" w:rsidR="00426B89" w:rsidRDefault="00426B89" w:rsidP="00426B89">
      <w:r>
        <w:t>Australia cannot scale prevention without first building the systems, workforce and leadership required to deliver it. While Australia has a growing evidence base for preventing violence against women and children, implementation remains fragmented. Effective prevention depends not only on evidence-informed programs, but on coordinated leadership, a capable workforce, strong partnerships and sustained investment that enable those programs to be delivered consistently across the country.</w:t>
      </w:r>
    </w:p>
    <w:p w14:paraId="1C41AFD5" w14:textId="77777777" w:rsidR="00426B89" w:rsidRDefault="00426B89" w:rsidP="00426B89">
      <w:r>
        <w:t>The Man Cave's (TMC) contribution to this priority area is specific. Our work with boys and young men exists to strengthen, not substitute for, the National Plan's investment in women and girls. We focus on strengthening the primary prevention workforce that engages boys and young men before harm occurs, ensuring this workforce is connected to the broader specialist and universal systems responsible for prevention, early intervention, response and recovery.</w:t>
      </w:r>
    </w:p>
    <w:p w14:paraId="1F03469D" w14:textId="77777777" w:rsidR="00426B89" w:rsidRDefault="00426B89" w:rsidP="00426B89">
      <w:r>
        <w:t>Healthy masculinities work currently sits across social services, education, health, employment, violent extremism prevention and community services, yet belongs fully to none. This fragmentation limits coordination, accountability and sustained investment. Australia already has a successful precedent for addressing complex, cross-cutting issues through dedicated national leadership. The Minister for Women, supported by the Office for Women within the Department of the Prime Minister and Cabinet, recognises that gender equality cannot be advanced through a single portfolio alone. We recommend the Second Action Plan establish a dedicated Minister and Commissioner for Boys and Men, supported by an Office for Men and Boys working in close partnership with the Office for Women, to provide sustained leadership, coordination and accountability for this work. Cross-portfolio mechanisms remain important but are unlikely to succeed without a clear, resourced point of national leadership.</w:t>
      </w:r>
    </w:p>
    <w:p w14:paraId="5BB8AC68" w14:textId="77777777" w:rsidR="00426B89" w:rsidRDefault="00426B89" w:rsidP="00426B89">
      <w:r>
        <w:t xml:space="preserve">Implementation succeeds or fails through workforce </w:t>
      </w:r>
      <w:proofErr w:type="gramStart"/>
      <w:r>
        <w:t>capability</w:t>
      </w:r>
      <w:proofErr w:type="gramEnd"/>
      <w:r>
        <w:t xml:space="preserve"> and this extends well beyond specialist facilitators. Classroom teachers delivering respectful relationships education require dedicated professional learning to confidently facilitate complex discussions and respond to disclosures. Coaches, youth leaders and other trusted adults in sporting clubs and community organisations are often among the most influential figures in boys' lives, yet few receive structured preparation to recognise or respond to the attitudes underpinning violence prevention. Many of these settings also rely heavily on volunteer capacity, limiting the consistency and depth of prevention efforts. Governments should invest in professional training pathways and, where appropriate, dedicated paid prevention roles within community organisations, ensuring </w:t>
      </w:r>
      <w:r>
        <w:lastRenderedPageBreak/>
        <w:t>this work has clear ownership rather than becoming an additional responsibility for volunteers.</w:t>
      </w:r>
    </w:p>
    <w:p w14:paraId="56BAF489" w14:textId="77777777" w:rsidR="00426B89" w:rsidRDefault="00426B89" w:rsidP="00426B89">
      <w:r>
        <w:t>Regional and remote communities face distinct workforce challenges that require tailored responses. Many schools and community organisations struggle to attract or retain specialist staff and cannot access evidence-informed prevention programs regardless of available funding. Workforce strategies should therefore include dedicated approaches for regional and remote Australia, including travelling facilitator models, high-quality digital delivery and investment in growing local workforce capability, rather than assuming metropolitan service models will translate effectively.</w:t>
      </w:r>
    </w:p>
    <w:p w14:paraId="5D44150B" w14:textId="77777777" w:rsidR="00426B89" w:rsidRDefault="00426B89" w:rsidP="00426B89">
      <w:r>
        <w:t>No single workforce can prevent violence alone and the strongest prevention systems connect educators, specialist facilitators, community organisations, health services, family violence services and justice systems through clear referral pathways, shared capability and coordinated responses. Boys and young men experiencing disengagement from education and employment, particularly where this intersects with rigid masculine norms and social isolation, are at risk of falling between systems. Strengthening collaboration between the primary prevention workforce and the broader family, domestic and sexual violence response system would improve opportunities for earlier identification, referral and support.</w:t>
      </w:r>
    </w:p>
    <w:p w14:paraId="17E828B5" w14:textId="77777777" w:rsidR="00426B89" w:rsidRDefault="00426B89" w:rsidP="00426B89">
      <w:r>
        <w:t>Finally, sustainable system reform requires sustainable evidence. Long-term workforce planning and system improvement depend on investment in longitudinal research examining gender as a determinant of health and violence prevention outcomes. We recommend establishing a government-funded, independently governed national centre for men and boys, modelled on ANROWS, to generate, coordinate and translate evidence into policy and practice while supporting continuous workforce and system improvement.</w:t>
      </w:r>
    </w:p>
    <w:p w14:paraId="406E55D6" w14:textId="77777777" w:rsidR="00426B89" w:rsidRDefault="00426B89" w:rsidP="00426B89">
      <w:r>
        <w:t>Workforce and system reform must also reflect the diversity of the communities they serve. Prevention, early intervention and response systems should be culturally safe and co-designed with Aboriginal and Torres Strait Islander, culturally and linguistically diverse, LGBTIQA+ and disability communities, ensuring both workforce capability and service delivery reflect diverse experiences and needs.</w:t>
      </w:r>
    </w:p>
    <w:p w14:paraId="63DFC16A" w14:textId="77777777" w:rsidR="00426B89" w:rsidRDefault="00426B89" w:rsidP="00426B89">
      <w:r>
        <w:t>We recommend the Second Action Plan:</w:t>
      </w:r>
    </w:p>
    <w:p w14:paraId="1A0BF513" w14:textId="77777777" w:rsidR="00426B89" w:rsidRDefault="00426B89" w:rsidP="00426B89">
      <w:r>
        <w:t xml:space="preserve">Establish a dedicated Minister </w:t>
      </w:r>
      <w:proofErr w:type="gramStart"/>
      <w:r>
        <w:t>and  Commissioner</w:t>
      </w:r>
      <w:proofErr w:type="gramEnd"/>
      <w:r>
        <w:t xml:space="preserve"> for Boys and Men, supported by an Office for Men and Boys working in close partnership with the Office for Women, to provide sustained national leadership, coordination and accountability</w:t>
      </w:r>
    </w:p>
    <w:p w14:paraId="57C58D27" w14:textId="77777777" w:rsidR="00426B89" w:rsidRDefault="00426B89" w:rsidP="00426B89">
      <w:r>
        <w:t>Invest in facilitator, teacher and practitioner capability as a distinct national workforce priority, including professional learning pathways and dedicated paid prevention roles within community organisations currently reliant on volunteer capacity</w:t>
      </w:r>
    </w:p>
    <w:p w14:paraId="50C4F44C" w14:textId="77777777" w:rsidR="00426B89" w:rsidRDefault="00426B89" w:rsidP="00426B89">
      <w:r>
        <w:lastRenderedPageBreak/>
        <w:t>Develop dedicated workforce strategies for regional and remote Australia, including travelling facilitator models, high-quality digital delivery and investment in local workforce capability</w:t>
      </w:r>
    </w:p>
    <w:p w14:paraId="2EDCED5D" w14:textId="77777777" w:rsidR="00426B89" w:rsidRDefault="00426B89" w:rsidP="00426B89">
      <w:r>
        <w:t>Strengthen referral pathways and collaboration between the primary prevention workforce and specialist family, domestic and sexual violence response and recovery systems</w:t>
      </w:r>
    </w:p>
    <w:p w14:paraId="6C8AD5E2" w14:textId="77777777" w:rsidR="00426B89" w:rsidRDefault="00426B89" w:rsidP="00426B89">
      <w:r>
        <w:t>Give dedicated attention to boys and young men disengaged from education and employment where this intersects with harmful masculine norms and social isolation</w:t>
      </w:r>
    </w:p>
    <w:p w14:paraId="253C3BC9" w14:textId="77777777" w:rsidR="00426B89" w:rsidRDefault="00426B89" w:rsidP="00426B89">
      <w:r>
        <w:t>Invest in longitudinal research examining gender as a determinant of health and violence prevention outcomes through a government-funded, independently governed national centre for men and boys, modelled on ANROWS</w:t>
      </w:r>
    </w:p>
    <w:p w14:paraId="4154ED16" w14:textId="0F236642" w:rsidR="00426B89" w:rsidRPr="00426B89" w:rsidRDefault="00426B89" w:rsidP="00426B89">
      <w:r>
        <w:t>Ensure workforce capability, leadership and system responses are culturally safe and co-designed with Aboriginal and Torres Strait Islander, culturally and linguistically diverse, LGBTIQA+ and disability communities</w:t>
      </w:r>
    </w:p>
    <w:sectPr w:rsidR="00426B89" w:rsidRPr="00426B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B89"/>
    <w:rsid w:val="00022A23"/>
    <w:rsid w:val="0023679E"/>
    <w:rsid w:val="00426B89"/>
    <w:rsid w:val="005A690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9018"/>
  <w15:chartTrackingRefBased/>
  <w15:docId w15:val="{159C9263-B30E-4D9B-89C0-CC349088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B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B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B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B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B89"/>
    <w:rPr>
      <w:rFonts w:eastAsiaTheme="majorEastAsia" w:cstheme="majorBidi"/>
      <w:color w:val="272727" w:themeColor="text1" w:themeTint="D8"/>
    </w:rPr>
  </w:style>
  <w:style w:type="paragraph" w:styleId="Title">
    <w:name w:val="Title"/>
    <w:basedOn w:val="Normal"/>
    <w:next w:val="Normal"/>
    <w:link w:val="TitleChar"/>
    <w:uiPriority w:val="10"/>
    <w:qFormat/>
    <w:rsid w:val="00426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B89"/>
    <w:pPr>
      <w:spacing w:before="160"/>
      <w:jc w:val="center"/>
    </w:pPr>
    <w:rPr>
      <w:i/>
      <w:iCs/>
      <w:color w:val="404040" w:themeColor="text1" w:themeTint="BF"/>
    </w:rPr>
  </w:style>
  <w:style w:type="character" w:customStyle="1" w:styleId="QuoteChar">
    <w:name w:val="Quote Char"/>
    <w:basedOn w:val="DefaultParagraphFont"/>
    <w:link w:val="Quote"/>
    <w:uiPriority w:val="29"/>
    <w:rsid w:val="00426B89"/>
    <w:rPr>
      <w:i/>
      <w:iCs/>
      <w:color w:val="404040" w:themeColor="text1" w:themeTint="BF"/>
    </w:rPr>
  </w:style>
  <w:style w:type="paragraph" w:styleId="ListParagraph">
    <w:name w:val="List Paragraph"/>
    <w:basedOn w:val="Normal"/>
    <w:uiPriority w:val="34"/>
    <w:qFormat/>
    <w:rsid w:val="00426B89"/>
    <w:pPr>
      <w:ind w:left="720"/>
      <w:contextualSpacing/>
    </w:pPr>
  </w:style>
  <w:style w:type="character" w:styleId="IntenseEmphasis">
    <w:name w:val="Intense Emphasis"/>
    <w:basedOn w:val="DefaultParagraphFont"/>
    <w:uiPriority w:val="21"/>
    <w:qFormat/>
    <w:rsid w:val="00426B89"/>
    <w:rPr>
      <w:i/>
      <w:iCs/>
      <w:color w:val="0F4761" w:themeColor="accent1" w:themeShade="BF"/>
    </w:rPr>
  </w:style>
  <w:style w:type="paragraph" w:styleId="IntenseQuote">
    <w:name w:val="Intense Quote"/>
    <w:basedOn w:val="Normal"/>
    <w:next w:val="Normal"/>
    <w:link w:val="IntenseQuoteChar"/>
    <w:uiPriority w:val="30"/>
    <w:qFormat/>
    <w:rsid w:val="00426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B89"/>
    <w:rPr>
      <w:i/>
      <w:iCs/>
      <w:color w:val="0F4761" w:themeColor="accent1" w:themeShade="BF"/>
    </w:rPr>
  </w:style>
  <w:style w:type="character" w:styleId="IntenseReference">
    <w:name w:val="Intense Reference"/>
    <w:basedOn w:val="DefaultParagraphFont"/>
    <w:uiPriority w:val="32"/>
    <w:qFormat/>
    <w:rsid w:val="00426B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5A8106-7FF7-4AA2-A911-A322461114E6}"/>
</file>

<file path=customXml/itemProps2.xml><?xml version="1.0" encoding="utf-8"?>
<ds:datastoreItem xmlns:ds="http://schemas.openxmlformats.org/officeDocument/2006/customXml" ds:itemID="{80BFB3C9-756E-42C9-B24C-B2898662418F}"/>
</file>

<file path=customXml/itemProps3.xml><?xml version="1.0" encoding="utf-8"?>
<ds:datastoreItem xmlns:ds="http://schemas.openxmlformats.org/officeDocument/2006/customXml" ds:itemID="{A6986A12-727B-4BAE-8C4F-02DCEB25D8CA}"/>
</file>

<file path=docProps/app.xml><?xml version="1.0" encoding="utf-8"?>
<Properties xmlns="http://schemas.openxmlformats.org/officeDocument/2006/extended-properties" xmlns:vt="http://schemas.openxmlformats.org/officeDocument/2006/docPropsVTypes">
  <Template>Normal.dotm</Template>
  <TotalTime>2</TotalTime>
  <Pages>13</Pages>
  <Words>5167</Words>
  <Characters>29456</Characters>
  <Application>Microsoft Office Word</Application>
  <DocSecurity>0</DocSecurity>
  <Lines>245</Lines>
  <Paragraphs>69</Paragraphs>
  <ScaleCrop>false</ScaleCrop>
  <Company/>
  <LinksUpToDate>false</LinksUpToDate>
  <CharactersWithSpaces>34554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2026-09-04T02:21:00Z</dcterms:created>
  <dcterms:modified xsi:type="dcterms:W3CDTF">2026-09-04T02:23:00Z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