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6B6B3" w14:textId="39CC39C4" w:rsidR="0023679E" w:rsidRDefault="00C974E4">
      <w:pPr>
        <w:rPr>
          <w:b/>
          <w:bCs/>
        </w:rPr>
      </w:pPr>
      <w:r w:rsidRPr="00C974E4">
        <w:rPr>
          <w:b/>
          <w:bCs/>
        </w:rPr>
        <w:t>The Red Rose Foundation</w:t>
      </w:r>
    </w:p>
    <w:p w14:paraId="6954EFAE" w14:textId="6CD121F5" w:rsidR="00C974E4" w:rsidRDefault="00C974E4">
      <w:pPr>
        <w:rPr>
          <w:b/>
          <w:bCs/>
        </w:rPr>
      </w:pPr>
      <w:r w:rsidRPr="00C974E4">
        <w:rPr>
          <w:b/>
          <w:bCs/>
        </w:rPr>
        <w:t>Feedback for Priority Area 1: Victim-survivors</w:t>
      </w:r>
    </w:p>
    <w:p w14:paraId="24DC2939" w14:textId="2E5800A4" w:rsidR="00C974E4" w:rsidRDefault="00C974E4" w:rsidP="00C974E4">
      <w:r>
        <w:t>Priority Area 1: Victim-survivors</w:t>
      </w:r>
    </w:p>
    <w:p w14:paraId="2DE0D410" w14:textId="011D609C" w:rsidR="00C974E4" w:rsidRDefault="00C974E4" w:rsidP="00C974E4">
      <w:r>
        <w:t xml:space="preserve">The Second Action Plan should enhance responses to victim-survivors through two connected reforms: a nationally coordinated response to non-fatal strangulation, and a dedicated national support and advocacy pathway for families bereaved by fatal domestic and family violence. Both reforms would improve immediate safety, wellbeing, healing and movement towards their new normal ([redacted] describe the </w:t>
      </w:r>
      <w:proofErr w:type="gramStart"/>
      <w:r>
        <w:t>final destination</w:t>
      </w:r>
      <w:proofErr w:type="gramEnd"/>
      <w:r>
        <w:t xml:space="preserve"> as ""recovery""), while also drawing out critical learning to strengthen current responses and prevent future fatalities. </w:t>
      </w:r>
    </w:p>
    <w:p w14:paraId="5F2E6532" w14:textId="5F0FE9A8" w:rsidR="00C974E4" w:rsidRDefault="00C974E4" w:rsidP="00C974E4">
      <w:r>
        <w:t xml:space="preserve">For victim-survivors of non-fatal strangulation, the biggest difference would come from nationally consistent health, police, justice and specialist service pathways, including funded access to medical assessment, diagnostic imaging, follow-up care, trauma-informed recovery support, specialist advocacy, and Health and Wellbeing Navigator-style roles. These responses are needed because strangulation may leave no visible injury, can be minimised or misunderstood, and can have serious immediate and delayed consequences. </w:t>
      </w:r>
    </w:p>
    <w:p w14:paraId="4E511398" w14:textId="0083B996" w:rsidR="00C974E4" w:rsidRDefault="00C974E4" w:rsidP="00C974E4">
      <w:r>
        <w:t xml:space="preserve">For families bereaved by domestic and family violence homicide, suicide or unexplained death, the Second Action Plan should establish a dedicated support and advocacy pathway from the earliest possible point after a death. Families should be supported to navigate police, coronial, criminal justice, victims’ assistance, administrative systems and media, and to safely contribute information to death review processes. This is not only a support response: families often hold critical information about coercive control, prior strangulation, threats, stalking, post-separation escalation and missed opportunities that may not appear in official records. Capturing that knowledge can improve system learning, strengthen risk assessment, enhance responses to current victim-survivors of DFSV and help prevent future deaths. </w:t>
      </w:r>
    </w:p>
    <w:p w14:paraId="195BAB10" w14:textId="77777777" w:rsidR="00C974E4" w:rsidRDefault="00C974E4" w:rsidP="00C974E4">
      <w:r>
        <w:t>For Aboriginal and Torres Strait Islander victim-survivors and families, both reforms must be underpinned by culturally safe First Nations governance, support units, protocols, screening, monitoring and models of care.</w:t>
      </w:r>
    </w:p>
    <w:p w14:paraId="5B0343B7" w14:textId="451A1686" w:rsidR="00C974E4" w:rsidRPr="00C974E4" w:rsidRDefault="00C974E4" w:rsidP="00C974E4">
      <w:pPr>
        <w:rPr>
          <w:b/>
          <w:bCs/>
        </w:rPr>
      </w:pPr>
      <w:r w:rsidRPr="00C974E4">
        <w:rPr>
          <w:b/>
          <w:bCs/>
        </w:rPr>
        <w:t>Feedback for Priority Area 2: Prevention and early intervention</w:t>
      </w:r>
    </w:p>
    <w:p w14:paraId="476D0F6C" w14:textId="14DEFCC8" w:rsidR="00C974E4" w:rsidRDefault="00C974E4" w:rsidP="00C974E4">
      <w:r>
        <w:t>Priority Area 2: Prevention and early intervention</w:t>
      </w:r>
    </w:p>
    <w:p w14:paraId="0D411B1B" w14:textId="49943FED" w:rsidR="00C974E4" w:rsidRDefault="00C974E4" w:rsidP="00C974E4">
      <w:r>
        <w:t xml:space="preserve">The Second Action Plan should strengthen prevention and early intervention through the Red Rose Foundation’s two connected reforms: learning from domestic and family violence-related deaths and recognising and responding to non-fatal strangulation before violence becomes fatal. Together, these reforms would shift systems from reacting after serious harm has occurred to identifying warning signs earlier, responding </w:t>
      </w:r>
      <w:r>
        <w:lastRenderedPageBreak/>
        <w:t xml:space="preserve">more consistently, and translating learning into practical changes that prevent escalation. </w:t>
      </w:r>
    </w:p>
    <w:p w14:paraId="092188E1" w14:textId="57653493" w:rsidR="00C974E4" w:rsidRDefault="00C974E4" w:rsidP="00C974E4">
      <w:r>
        <w:t xml:space="preserve">A nationally coordinated death review framework would make a significant contribution to prevention by identifying missed opportunities, repeated patterns and system failures across homicides, suicides, homicide-suicides, filicides and suspected hidden homicides. This learning should be used to strengthen risk screening, workforce practice, local multi-agency responses, and national accountability for implementing review recommendations. Families, friends and communities should be supported to contribute safely, as they often hold information about coercive control, prior strangulation, threats, stalking, post-separation escalation and missed opportunities that is not captured in official records. </w:t>
      </w:r>
    </w:p>
    <w:p w14:paraId="42ACA0DF" w14:textId="609EBE32" w:rsidR="00C974E4" w:rsidRDefault="00C974E4" w:rsidP="00C974E4">
      <w:r>
        <w:t xml:space="preserve">A nationally coordinated response to non-fatal strangulation is also essential to early intervention. Strangulation is a serious warning sign of escalating risk, yet it may leave no visible injury and is often minimised or missed. Nationally consistent health, police, justice and specialist service pathways, including funded medical assessment, diagnostic imaging, follow-up care and specialist advocacy, would help services recognise risk earlier and intervene before violence becomes fatal. </w:t>
      </w:r>
    </w:p>
    <w:p w14:paraId="21C98633" w14:textId="77777777" w:rsidR="00C974E4" w:rsidRDefault="00C974E4" w:rsidP="00C974E4">
      <w:r>
        <w:t>The Second Action Plan should also address emerging prevention issues, including the normalisation of choking and strangulation in sexual contexts, particularly among young people. Public and professional education should make clear that there is no safe way to strangle, that consequences can be immediate or delayed, and that strangulation is a high-risk act. Governments, schools, communities, workplaces, online platforms and the communications sector all have a role in challenging harmful attitudes and behaviours, including the accessibility of violent and degrading pornography that may shape young people’s understanding of sex, gender norms, intimacy and consent.</w:t>
      </w:r>
    </w:p>
    <w:p w14:paraId="4312FEB8" w14:textId="3D3CCCC1" w:rsidR="00C974E4" w:rsidRPr="00C974E4" w:rsidRDefault="00C974E4" w:rsidP="00C974E4">
      <w:pPr>
        <w:rPr>
          <w:b/>
          <w:bCs/>
        </w:rPr>
      </w:pPr>
      <w:r w:rsidRPr="00C974E4">
        <w:rPr>
          <w:b/>
          <w:bCs/>
        </w:rPr>
        <w:t>Feedback for Priority Area 3: Children and young people in their own right</w:t>
      </w:r>
    </w:p>
    <w:p w14:paraId="01B893A9" w14:textId="6087DEF4" w:rsidR="00C974E4" w:rsidRDefault="00C974E4" w:rsidP="00C974E4">
      <w:r>
        <w:t>Priority Area 3: Children and young people in their own right</w:t>
      </w:r>
    </w:p>
    <w:p w14:paraId="67AE1D2F" w14:textId="5781247C" w:rsidR="00C974E4" w:rsidRDefault="00C974E4" w:rsidP="00C974E4">
      <w:r>
        <w:t xml:space="preserve">The Second Action Plan should recognise children and young people as victim-survivors </w:t>
      </w:r>
      <w:proofErr w:type="gramStart"/>
      <w:r>
        <w:t>in their own right across</w:t>
      </w:r>
      <w:proofErr w:type="gramEnd"/>
      <w:r>
        <w:t xml:space="preserve"> both fatal and non-fatal domestic, family and sexual violence. This is underscored by the current national lens on children as victim-survivors of </w:t>
      </w:r>
      <w:proofErr w:type="gramStart"/>
      <w:r>
        <w:t>DFSV in their own right, including</w:t>
      </w:r>
      <w:proofErr w:type="gramEnd"/>
      <w:r>
        <w:t xml:space="preserve"> the *Australian National Research Agenda to End Violence against Women and Children 2023–2028 and its principle of “listening to children when they are children”. (ANROWS, 2023[1])</w:t>
      </w:r>
    </w:p>
    <w:p w14:paraId="0013E57F" w14:textId="10618DD4" w:rsidR="00C974E4" w:rsidRDefault="00C974E4" w:rsidP="00C974E4">
      <w:r>
        <w:t xml:space="preserve">The impact on a child’s wellbeing, development, safety and recovery when they are bereaved by DFSV-related homicide, suicide or unexplained death requires dedicated recognition, timely intervention, and access to healing and recovery support. A national support and advocacy pathway for families bereaved by fatal domestic and family </w:t>
      </w:r>
      <w:r>
        <w:lastRenderedPageBreak/>
        <w:t xml:space="preserve">violence should therefore include specific support for children and young people, including trauma-informed counselling, system navigation and safe, age-appropriate opportunities for their experiences to inform prevention learning. </w:t>
      </w:r>
    </w:p>
    <w:p w14:paraId="45FD7622" w14:textId="098ABD42" w:rsidR="00C974E4" w:rsidRDefault="00C974E4" w:rsidP="00C974E4">
      <w:r>
        <w:t xml:space="preserve">Children and young people are also directly affected by non-fatal strangulation, including in domestic, family, sexual and dating contexts. The Second Action Plan should ensure that strangulation is recognised not only as an emerging harm affecting young people, but as a serious and potentially lethal form of violence requiring age-appropriate health, police, justice and specialist service pathways, funded access to medical assessment and follow-up care, and workforce training so disclosures are recognised, documented and acted on early. </w:t>
      </w:r>
    </w:p>
    <w:p w14:paraId="35EAF0D9" w14:textId="2A8B4C25" w:rsidR="00C974E4" w:rsidRDefault="00C974E4" w:rsidP="00C974E4">
      <w:r>
        <w:t>The Plan should also address the normalisation of choking and strangulation in sexual contexts, particularly among young people, and the role of violent and degrading pornography and harmful online content in shaping understandings of sex, intimacy, gender norms and consent. Prevention messaging should make clear that there is no safe way to strangle, that consequences may be immediate or delayed, and that so-called consensual strangulation can obscure serious harm or risk without training and thorough investigation.</w:t>
      </w:r>
    </w:p>
    <w:p w14:paraId="64C495CC" w14:textId="77777777" w:rsidR="00C974E4" w:rsidRDefault="00C974E4" w:rsidP="00C974E4">
      <w:r>
        <w:t>[1]: https://www.anrows.org.au/publication/australian-national-research-agenda-to-end-violence-against-women-and-children/anra-2023-2028/read/?utm_source=chatgpt.com ""The Australian National Research Agenda to End Violence against Women and Children (ANRA) 2023–2028 - ANROWS - Australia's National Research Organisation for Women's Safety""</w:t>
      </w:r>
    </w:p>
    <w:p w14:paraId="5BCDA2ED" w14:textId="6B3C7ECF" w:rsidR="00C974E4" w:rsidRPr="00C974E4" w:rsidRDefault="00C974E4" w:rsidP="00C974E4">
      <w:pPr>
        <w:rPr>
          <w:b/>
          <w:bCs/>
        </w:rPr>
      </w:pPr>
      <w:r w:rsidRPr="00C974E4">
        <w:rPr>
          <w:b/>
          <w:bCs/>
        </w:rPr>
        <w:t>Feedback for Priority Area 4: People who use violence</w:t>
      </w:r>
    </w:p>
    <w:p w14:paraId="0F58ECDE" w14:textId="0AD9B1DB" w:rsidR="00C974E4" w:rsidRDefault="00C974E4" w:rsidP="00C974E4">
      <w:r>
        <w:t>Priority Area 4: People who use violence</w:t>
      </w:r>
    </w:p>
    <w:p w14:paraId="142386FD" w14:textId="5C88CC57" w:rsidR="00C974E4" w:rsidRDefault="00C974E4" w:rsidP="00C974E4">
      <w:r>
        <w:t xml:space="preserve">The Second Action Plan should strengthen responses to people who use violence by recognising non-fatal strangulation as a serious perpetrator risk behaviour and one of the clearest warning signs of escalating harm. Earlier identification of strangulation, coercive control, threats to kill, suicide threats and post-separation escalation should trigger stronger risk assessment, information sharing, safety planning and coordinated intervention, with victim-survivor safety remaining the central focus. </w:t>
      </w:r>
    </w:p>
    <w:p w14:paraId="31FE66D0" w14:textId="77777777" w:rsidR="00C974E4" w:rsidRDefault="00C974E4" w:rsidP="00C974E4">
      <w:r>
        <w:t xml:space="preserve">A nationally coordinated death review framework would also strengthen perpetrator accountability by identifying patterns of behaviour before deaths occur, including histories known to families, friends, communities, services, police, courts and health systems. Where death reviews identify missed opportunities to recognise high-risk perpetrator behaviour, those findings should lead directly to changes in risk screening, clinical pathways, police practice, legal responses, perpetrator-focused systems and specialist service funding. </w:t>
      </w:r>
    </w:p>
    <w:p w14:paraId="78BDB6BE" w14:textId="0713FEC6" w:rsidR="00C974E4" w:rsidRDefault="00C974E4" w:rsidP="00C974E4">
      <w:r>
        <w:lastRenderedPageBreak/>
        <w:t xml:space="preserve">The Second Action Plan should also support nationally consistent legal responses to non-fatal strangulation, including removal of consent as a defence. Strangulation should not be minimised or reframed as consensual, particularly in sexual contexts, where the Foundation’s position is that there is no safe way to strangle and that fully informed consent is not possible because individual physiological responses are unpredictable and the brain itself may be impaired during the act. </w:t>
      </w:r>
    </w:p>
    <w:p w14:paraId="205ACF63" w14:textId="77777777" w:rsidR="00C974E4" w:rsidRDefault="00C974E4" w:rsidP="00C974E4">
      <w:r>
        <w:t>Governments and services should strengthen culturally safe, accessible and evidence-informed responses by ensuring First Nations governance, support units, culturally safe protocols, appropriate screening, monitoring and models of care. These responses should be integrated across health, justice, policing, specialist DFV, sexual assault, child protection, mental health and legal systems, so that people using high-risk violence are identified earlier and held accountable before harm escalates.</w:t>
      </w:r>
    </w:p>
    <w:p w14:paraId="71DB3B72" w14:textId="2F4F1D32" w:rsidR="00C974E4" w:rsidRPr="00C974E4" w:rsidRDefault="00C974E4" w:rsidP="00C974E4">
      <w:pPr>
        <w:rPr>
          <w:b/>
          <w:bCs/>
        </w:rPr>
      </w:pPr>
      <w:r w:rsidRPr="00C974E4">
        <w:rPr>
          <w:b/>
          <w:bCs/>
        </w:rPr>
        <w:t>Feedback for Priority Area 5: System Integration and Workforce</w:t>
      </w:r>
    </w:p>
    <w:p w14:paraId="47A21B7D" w14:textId="091FC13D" w:rsidR="00C974E4" w:rsidRDefault="00C974E4" w:rsidP="00C974E4">
      <w:r>
        <w:t>Priority Area 5: System integration and workforce</w:t>
      </w:r>
    </w:p>
    <w:p w14:paraId="383F8D46" w14:textId="2244EBDF" w:rsidR="00C974E4" w:rsidRDefault="00C974E4" w:rsidP="00C974E4">
      <w:r>
        <w:t>The Second Action Plan should prioritise system integration assisted by two connected reforms in the Red Rose Foundation submission: a nationally coordinated domestic and family violence death review framework, and nationally consistent responses to non-fatal strangulation. Together, these would create stronger feedback loops between frontline practice, health responses, policing, courts, specialist services, death review findings and related actions and national, state and local policy reform.</w:t>
      </w:r>
    </w:p>
    <w:p w14:paraId="316C1963" w14:textId="49199205" w:rsidR="00C974E4" w:rsidRDefault="00C974E4" w:rsidP="00C974E4">
      <w:r>
        <w:t xml:space="preserve">The biggest difference would come from ensuring that critical information is not held in disconnected parts of the system. Death review processes should identify missed opportunities and best practice/promising emerging practice across agencies and translate findings into changes in risk assessment, clinical pathways, police practice, legal responses, specialist service funding and workforce training. They are not only an opportunity to learn, but to also commend professional curiosity and good practice, for replication elsewhere. Families, friends and communities should also have a safe mechanism to contribute information, as they may hold critical knowledge that is not captured in official records. </w:t>
      </w:r>
    </w:p>
    <w:p w14:paraId="50D143CE" w14:textId="750392A5" w:rsidR="00C974E4" w:rsidRDefault="00C974E4" w:rsidP="00C974E4">
      <w:r>
        <w:t>For non-fatal strangulation, system integration requires nationally consistent health, police, justice and specialist service pathways, including funded access to medical assessment, diagnostic imaging and follow-up care. Workforce capability must be strengthened across health, policing, courts, DFV, sexual assault, child protection, mental health and legal systems so that strangulation is recognised, documented, risk-assessed and responded to as a potentially lethal form of violence, even where there is no visible injury.</w:t>
      </w:r>
    </w:p>
    <w:p w14:paraId="6706328D" w14:textId="251DB310" w:rsidR="00C974E4" w:rsidRDefault="00C974E4" w:rsidP="00C974E4">
      <w:r>
        <w:lastRenderedPageBreak/>
        <w:t>Health and Wellbeing Navigator-style roles are a promising model for improving coordination. They help victim-survivors understand the health impacts of strangulation, access timely care, navigate fragmented systems and receive coordinated advocacy across health, legal, housing, income support and specialist DFV services. These roles also support workforce uplift by building stronger referral pathways and improving understanding of and professional responses to non-fatal strangulation across systems.</w:t>
      </w:r>
    </w:p>
    <w:p w14:paraId="4F37C585" w14:textId="7F6B2EAC" w:rsidR="00C974E4" w:rsidRPr="00C974E4" w:rsidRDefault="00C974E4" w:rsidP="00C974E4">
      <w:r>
        <w:t>The Second Action Plan should therefore prioritise national standards, shared referral pathways, culturally safe First Nations governance and models of care, transparent monitoring of death review recommendations, improved data collection, and sustained investment in specialist workforce capability and cross-system coordination.</w:t>
      </w:r>
    </w:p>
    <w:sectPr w:rsidR="00C974E4" w:rsidRPr="00C974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4E4"/>
    <w:rsid w:val="00022A23"/>
    <w:rsid w:val="000A2B33"/>
    <w:rsid w:val="0023679E"/>
    <w:rsid w:val="00C974E4"/>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79E9D"/>
  <w15:chartTrackingRefBased/>
  <w15:docId w15:val="{3DCC7534-AE4C-4751-ABAC-A48481901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4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4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4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4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4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4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4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4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4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4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4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4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4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4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4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4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4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4E4"/>
    <w:rPr>
      <w:rFonts w:eastAsiaTheme="majorEastAsia" w:cstheme="majorBidi"/>
      <w:color w:val="272727" w:themeColor="text1" w:themeTint="D8"/>
    </w:rPr>
  </w:style>
  <w:style w:type="paragraph" w:styleId="Title">
    <w:name w:val="Title"/>
    <w:basedOn w:val="Normal"/>
    <w:next w:val="Normal"/>
    <w:link w:val="TitleChar"/>
    <w:uiPriority w:val="10"/>
    <w:qFormat/>
    <w:rsid w:val="00C974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4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4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4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4E4"/>
    <w:pPr>
      <w:spacing w:before="160"/>
      <w:jc w:val="center"/>
    </w:pPr>
    <w:rPr>
      <w:i/>
      <w:iCs/>
      <w:color w:val="404040" w:themeColor="text1" w:themeTint="BF"/>
    </w:rPr>
  </w:style>
  <w:style w:type="character" w:customStyle="1" w:styleId="QuoteChar">
    <w:name w:val="Quote Char"/>
    <w:basedOn w:val="DefaultParagraphFont"/>
    <w:link w:val="Quote"/>
    <w:uiPriority w:val="29"/>
    <w:rsid w:val="00C974E4"/>
    <w:rPr>
      <w:i/>
      <w:iCs/>
      <w:color w:val="404040" w:themeColor="text1" w:themeTint="BF"/>
    </w:rPr>
  </w:style>
  <w:style w:type="paragraph" w:styleId="ListParagraph">
    <w:name w:val="List Paragraph"/>
    <w:basedOn w:val="Normal"/>
    <w:uiPriority w:val="34"/>
    <w:qFormat/>
    <w:rsid w:val="00C974E4"/>
    <w:pPr>
      <w:ind w:left="720"/>
      <w:contextualSpacing/>
    </w:pPr>
  </w:style>
  <w:style w:type="character" w:styleId="IntenseEmphasis">
    <w:name w:val="Intense Emphasis"/>
    <w:basedOn w:val="DefaultParagraphFont"/>
    <w:uiPriority w:val="21"/>
    <w:qFormat/>
    <w:rsid w:val="00C974E4"/>
    <w:rPr>
      <w:i/>
      <w:iCs/>
      <w:color w:val="0F4761" w:themeColor="accent1" w:themeShade="BF"/>
    </w:rPr>
  </w:style>
  <w:style w:type="paragraph" w:styleId="IntenseQuote">
    <w:name w:val="Intense Quote"/>
    <w:basedOn w:val="Normal"/>
    <w:next w:val="Normal"/>
    <w:link w:val="IntenseQuoteChar"/>
    <w:uiPriority w:val="30"/>
    <w:qFormat/>
    <w:rsid w:val="00C97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4E4"/>
    <w:rPr>
      <w:i/>
      <w:iCs/>
      <w:color w:val="0F4761" w:themeColor="accent1" w:themeShade="BF"/>
    </w:rPr>
  </w:style>
  <w:style w:type="character" w:styleId="IntenseReference">
    <w:name w:val="Intense Reference"/>
    <w:basedOn w:val="DefaultParagraphFont"/>
    <w:uiPriority w:val="32"/>
    <w:qFormat/>
    <w:rsid w:val="00C974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7541AB-4D5A-40BF-8946-029801202A8A}"/>
</file>

<file path=customXml/itemProps2.xml><?xml version="1.0" encoding="utf-8"?>
<ds:datastoreItem xmlns:ds="http://schemas.openxmlformats.org/officeDocument/2006/customXml" ds:itemID="{E9D0CCFF-C4D5-47B5-A029-4C582BC98FCC}"/>
</file>

<file path=customXml/itemProps3.xml><?xml version="1.0" encoding="utf-8"?>
<ds:datastoreItem xmlns:ds="http://schemas.openxmlformats.org/officeDocument/2006/customXml" ds:itemID="{0087883F-5935-4DC9-913A-883F7A3313E4}"/>
</file>

<file path=docProps/app.xml><?xml version="1.0" encoding="utf-8"?>
<Properties xmlns="http://schemas.openxmlformats.org/officeDocument/2006/extended-properties" xmlns:vt="http://schemas.openxmlformats.org/officeDocument/2006/docPropsVTypes">
  <Template>Normal.dotm</Template>
  <TotalTime>1</TotalTime>
  <Pages>5</Pages>
  <Words>1808</Words>
  <Characters>10311</Characters>
  <Application>Microsoft Office Word</Application>
  <DocSecurity>0</DocSecurity>
  <Lines>85</Lines>
  <Paragraphs>24</Paragraphs>
  <ScaleCrop>false</ScaleCrop>
  <Company/>
  <LinksUpToDate>false</LinksUpToDate>
  <CharactersWithSpaces>12095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2026-09-07T01:01:00Z</dcterms:created>
  <dcterms:modified xsi:type="dcterms:W3CDTF">2026-09-07T01:02:00Z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