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013E9" w14:textId="187B738E" w:rsidR="0023679E" w:rsidRDefault="00D84917">
      <w:pPr>
        <w:rPr>
          <w:b/>
          <w:bCs/>
        </w:rPr>
      </w:pPr>
      <w:r w:rsidRPr="00D84917">
        <w:rPr>
          <w:b/>
          <w:bCs/>
        </w:rPr>
        <w:t>The Social Policy Group</w:t>
      </w:r>
    </w:p>
    <w:p w14:paraId="2B0D9688" w14:textId="5D9CA27B" w:rsidR="00D84917" w:rsidRDefault="00D84917">
      <w:pPr>
        <w:rPr>
          <w:b/>
          <w:bCs/>
        </w:rPr>
      </w:pPr>
      <w:r w:rsidRPr="00D84917">
        <w:rPr>
          <w:b/>
          <w:bCs/>
        </w:rPr>
        <w:t>Feedback for Priority Area 1: Victim-survivors</w:t>
      </w:r>
    </w:p>
    <w:p w14:paraId="0EFA59AB" w14:textId="33B7D764" w:rsidR="00D84917" w:rsidRDefault="00D84917" w:rsidP="00D84917">
      <w:r>
        <w:t xml:space="preserve">The Social Policy Group (SPG) does not seek to speak for Aboriginal and Torres Strait Islander communities whose distinct rights, leadership and expertise must guide responses affecting them. SPG’s evidence and recommendations in this section relate specifically to migrant and refugee communities and the settlement service system. </w:t>
      </w:r>
    </w:p>
    <w:p w14:paraId="354EB38A" w14:textId="77777777" w:rsidR="00D84917" w:rsidRDefault="00D84917" w:rsidP="00D84917">
      <w:r>
        <w:t xml:space="preserve">SERVICE AND SYSTEM RESPONSES AND EARLY SUPPORT  </w:t>
      </w:r>
    </w:p>
    <w:p w14:paraId="6E5F4609" w14:textId="2ECEF178" w:rsidR="00D84917" w:rsidRDefault="00D84917" w:rsidP="00D84917">
      <w:r>
        <w:t xml:space="preserve">The service response that would make the greatest difference for migrant and refugee victim-survivors is a system that combines trusted access points with real safety options. People need to be able to disclose violence through a service they know, communicate safely in their preferred language, receive an informed first response, and move into specialist support without being bounced around between systems. </w:t>
      </w:r>
    </w:p>
    <w:p w14:paraId="4ABC56A2" w14:textId="54124FC6" w:rsidR="00D84917" w:rsidRDefault="00D84917" w:rsidP="00D84917">
      <w:r>
        <w:t xml:space="preserve">Organisations funded under national settlement programs, that is, the Humanitarian Settlement Program (HSP), Adult Migrant English Program (AMEP), Youth Transition Support (YTS), and Settlement Engagement and Transition Support (SETS), are often well placed to support earlier access. They provided long-term support across housing, employment, English language programs, youth services, family services and community programs.  </w:t>
      </w:r>
    </w:p>
    <w:p w14:paraId="5B5D3985" w14:textId="5D8B4E32" w:rsidR="00D84917" w:rsidRDefault="00D84917" w:rsidP="00D84917">
      <w:r>
        <w:t xml:space="preserve">This sustained contact can create the trust needed to notice changes, receive a first disclosure and keep the door open when a person is not ready or able to take immediate action. Settlement providers are not specialist domestic, family or sexual violence (DFSV) services, but they are essential partners in recognition, safe response, warm referral and ongoing system navigation.  </w:t>
      </w:r>
    </w:p>
    <w:p w14:paraId="6931A1DE" w14:textId="4443CA40" w:rsidR="00D84917" w:rsidRDefault="00D84917" w:rsidP="00D84917">
      <w:r>
        <w:t xml:space="preserve">Settlement-linked pathways must include specialist sexual violence services as well as DFV services, recognising that sexual violence may require distinct disclosure, response, justice and recovery pathways. </w:t>
      </w:r>
    </w:p>
    <w:p w14:paraId="1589B04F" w14:textId="5DA58636" w:rsidR="00D84917" w:rsidRDefault="00D84917" w:rsidP="00D84917">
      <w:r>
        <w:t>Practitioners in the SETS Community of Practice (</w:t>
      </w:r>
      <w:proofErr w:type="spellStart"/>
      <w:r>
        <w:t>SETSCoP</w:t>
      </w:r>
      <w:proofErr w:type="spellEnd"/>
      <w:r>
        <w:t xml:space="preserve">), facilitated by SPG as a national peak body for migrant and refugee settlement, have consistently identified housing, language access, visa insecurity, referral failures and workforce capacity as major barriers to safety from DFSV. In a June 2025 poll of 33 practitioners, 91 per cent rated emergency housing as urgent or extremely urgent, 88 per cent identified cultural and language barriers, and 76 per cent identified visa-related gaps. These findings are not nationally representative, but they reflect recurring issues that have been raised through the National </w:t>
      </w:r>
      <w:proofErr w:type="spellStart"/>
      <w:r>
        <w:t>SETSCoP</w:t>
      </w:r>
      <w:proofErr w:type="spellEnd"/>
      <w:r>
        <w:t xml:space="preserve"> Domestic and Family Violence Network for years. </w:t>
      </w:r>
    </w:p>
    <w:p w14:paraId="5E3D76CD" w14:textId="77777777" w:rsidR="00D84917" w:rsidRDefault="00D84917" w:rsidP="00D84917">
      <w:r>
        <w:t xml:space="preserve">COERCIVE CONTROL AND TECH-FACILITATED ABUSE </w:t>
      </w:r>
    </w:p>
    <w:p w14:paraId="5D7F1620" w14:textId="321AAE5E" w:rsidR="00D84917" w:rsidRDefault="00D84917" w:rsidP="00D84917">
      <w:r>
        <w:lastRenderedPageBreak/>
        <w:t xml:space="preserve">The Second Action Plan (The Plan) should explicitly address migration-related coercive control. This can include threats of visa cancellation, deportation, loss of sponsorship or child removal; withholding passports or identity documents; providing false information about Australian law or services; controlling access to income, transport, technology or migration advice; and threatening relatives overseas. Abuse may also involve extended family or transnational networks, including surveillance, pressure, financial control and retaliation across borders. These forms of control can restrict a victim-survivor’s options even where physical violence is not visible. </w:t>
      </w:r>
    </w:p>
    <w:p w14:paraId="7F9B5A05" w14:textId="44A02371" w:rsidR="00D84917" w:rsidRDefault="00D84917" w:rsidP="00D84917">
      <w:r>
        <w:t xml:space="preserve">The Plan should also address technology-facilitated and transnational abuse, including device monitoring, account control, impersonation, image-based abuse and threats communicated through relatives or networks overseas. </w:t>
      </w:r>
    </w:p>
    <w:p w14:paraId="05D97F6F" w14:textId="77777777" w:rsidR="00D84917" w:rsidRDefault="00D84917" w:rsidP="00D84917">
      <w:r>
        <w:t xml:space="preserve">GAPS FOR DIVERSE COMMUNITIES  </w:t>
      </w:r>
    </w:p>
    <w:p w14:paraId="03FA847E" w14:textId="77777777" w:rsidR="00D84917" w:rsidRDefault="00D84917" w:rsidP="00D84917">
      <w:r>
        <w:t xml:space="preserve">Safe language access should be treated as core safety infrastructure. This requires: </w:t>
      </w:r>
    </w:p>
    <w:p w14:paraId="3CB98DF8" w14:textId="77777777" w:rsidR="00D84917" w:rsidRDefault="00D84917" w:rsidP="00D84917">
      <w:r>
        <w:t xml:space="preserve">- qualified interpreters to be available across crisis, legal, housing, health, police and recovery services, including after hours </w:t>
      </w:r>
    </w:p>
    <w:p w14:paraId="358845C6" w14:textId="77777777" w:rsidR="00D84917" w:rsidRDefault="00D84917" w:rsidP="00D84917">
      <w:r>
        <w:t xml:space="preserve">- services responding to dialect and gender preferences, conflicts of interest and confidentiality risks in small communities </w:t>
      </w:r>
    </w:p>
    <w:p w14:paraId="688EA69F" w14:textId="4E7C70FB" w:rsidR="00D84917" w:rsidRDefault="00D84917" w:rsidP="00D84917">
      <w:r>
        <w:t xml:space="preserve">- availability of out-of-area or interstate interpreters where local interpreters pose confidentiality or safety risks </w:t>
      </w:r>
    </w:p>
    <w:p w14:paraId="439B1C32" w14:textId="77777777" w:rsidR="00D84917" w:rsidRDefault="00D84917" w:rsidP="00D84917">
      <w:r>
        <w:t xml:space="preserve">- not using children, relatives and community members to interpret disclosures, risk information or legal advice due to risks to safety, confidentiality and accuracy </w:t>
      </w:r>
    </w:p>
    <w:p w14:paraId="6F5EBDCF" w14:textId="2B1F82B4" w:rsidR="00D84917" w:rsidRDefault="00D84917" w:rsidP="00D84917">
      <w:r>
        <w:t xml:space="preserve">- complementing translated written material with safe, supported communication </w:t>
      </w:r>
    </w:p>
    <w:p w14:paraId="20A4A304" w14:textId="77777777" w:rsidR="00D84917" w:rsidRDefault="00D84917" w:rsidP="00D84917">
      <w:r>
        <w:t xml:space="preserve">Warm referral pathways must be funded and accountable. A referral should: </w:t>
      </w:r>
    </w:p>
    <w:p w14:paraId="670E8AD2" w14:textId="77777777" w:rsidR="00D84917" w:rsidRDefault="00D84917" w:rsidP="00D84917">
      <w:r>
        <w:t xml:space="preserve">- explain what will happen </w:t>
      </w:r>
    </w:p>
    <w:p w14:paraId="33F0873C" w14:textId="77777777" w:rsidR="00D84917" w:rsidRDefault="00D84917" w:rsidP="00D84917">
      <w:r>
        <w:t xml:space="preserve">- obtain informed consent </w:t>
      </w:r>
    </w:p>
    <w:p w14:paraId="2D80E6AF" w14:textId="77777777" w:rsidR="00D84917" w:rsidRDefault="00D84917" w:rsidP="00D84917">
      <w:r>
        <w:t xml:space="preserve">- confirm that the receiving service can respond </w:t>
      </w:r>
    </w:p>
    <w:p w14:paraId="451E91E7" w14:textId="77777777" w:rsidR="00D84917" w:rsidRDefault="00D84917" w:rsidP="00D84917">
      <w:r>
        <w:t xml:space="preserve">- communicate language and migration needs </w:t>
      </w:r>
    </w:p>
    <w:p w14:paraId="0D32EBBD" w14:textId="7E03C8B3" w:rsidR="00D84917" w:rsidRDefault="00D84917" w:rsidP="00D84917">
      <w:r>
        <w:t xml:space="preserve">- follow up to ensure the connection occurred </w:t>
      </w:r>
    </w:p>
    <w:p w14:paraId="577996DB" w14:textId="723766D9" w:rsidR="00D84917" w:rsidRDefault="00D84917" w:rsidP="00D84917">
      <w:r>
        <w:t xml:space="preserve">Settlement providers need named contacts, escalation pathways and access to specialist secondary consultation, while specialist risk assessment, case management and perpetrator intervention remain with appropriately trained services. </w:t>
      </w:r>
    </w:p>
    <w:p w14:paraId="1D418BA1" w14:textId="66963AE2" w:rsidR="00D84917" w:rsidRDefault="00D84917" w:rsidP="00D84917">
      <w:r>
        <w:t xml:space="preserve">Risk may not be disclosed directly. A woman may ask to move home rather than name the violence, with details of abuse embedded across her account. Services that miss </w:t>
      </w:r>
      <w:r>
        <w:lastRenderedPageBreak/>
        <w:t xml:space="preserve">these cues may treat the issue as housing alone, delaying support and allowing victim-survivors to fall between settlement, housing and specialist DFSV systems.  </w:t>
      </w:r>
    </w:p>
    <w:p w14:paraId="7F41A7AD" w14:textId="25C28C98" w:rsidR="00D84917" w:rsidRDefault="00D84917" w:rsidP="00D84917">
      <w:r>
        <w:t xml:space="preserve">Victim-survivors must also be able to access immediate and long-term housing, income, healthcare, childcare, legal and migration services, digital access and transport, regardless of visa status. </w:t>
      </w:r>
    </w:p>
    <w:p w14:paraId="14CA92F5" w14:textId="77777777" w:rsidR="00D84917" w:rsidRDefault="00D84917" w:rsidP="00D84917">
      <w:r>
        <w:t xml:space="preserve">RECOMMENDATIONS </w:t>
      </w:r>
    </w:p>
    <w:p w14:paraId="23294763" w14:textId="33986FA6" w:rsidR="00D84917" w:rsidRDefault="00D84917" w:rsidP="00D84917">
      <w:r>
        <w:t xml:space="preserve">SPG recommends that the Second Action Plan </w:t>
      </w:r>
    </w:p>
    <w:p w14:paraId="1D9AC76D" w14:textId="79FFF144" w:rsidR="00D84917" w:rsidRDefault="00D84917" w:rsidP="00D84917">
      <w:r>
        <w:t xml:space="preserve">1. Formally recognises and resources settlement and multicultural services as partners across prevention, early intervention, response, and recovery and healing. </w:t>
      </w:r>
    </w:p>
    <w:p w14:paraId="40CAB56C" w14:textId="6AD7C638" w:rsidR="00D84917" w:rsidRDefault="00D84917" w:rsidP="00D84917">
      <w:r>
        <w:t xml:space="preserve">2. Establishes integrated pathways between settlement and specialist services, such as DFSV, legal, housing, employment, health, education, and child services. </w:t>
      </w:r>
    </w:p>
    <w:p w14:paraId="52DE0D8D" w14:textId="72DC50BF" w:rsidR="00D84917" w:rsidRDefault="00D84917" w:rsidP="00D84917">
      <w:r>
        <w:t xml:space="preserve">3. Includes funded actions to ensure safe interpreter access. </w:t>
      </w:r>
    </w:p>
    <w:p w14:paraId="36CB2244" w14:textId="299FAB5E" w:rsidR="00D84917" w:rsidRDefault="00D84917" w:rsidP="00D84917">
      <w:r>
        <w:t>4. Commits governments to addressing visa, income and housing exclusions that constrain victim-survivors’ safety and choice.</w:t>
      </w:r>
    </w:p>
    <w:p w14:paraId="1DC55DB1" w14:textId="77777777" w:rsidR="00D84917" w:rsidRDefault="00D84917" w:rsidP="00D84917">
      <w:r>
        <w:t>5. Measures successful access, continuity, safety and referral completion, rather than referral numbers alone.</w:t>
      </w:r>
    </w:p>
    <w:p w14:paraId="432C01B7" w14:textId="7CA1D1EB" w:rsidR="00D84917" w:rsidRPr="00D84917" w:rsidRDefault="00D84917" w:rsidP="00D84917">
      <w:pPr>
        <w:rPr>
          <w:b/>
          <w:bCs/>
        </w:rPr>
      </w:pPr>
      <w:r w:rsidRPr="00D84917">
        <w:rPr>
          <w:b/>
          <w:bCs/>
        </w:rPr>
        <w:t>Feedback for Priority Area 2: Prevention and early intervention</w:t>
      </w:r>
    </w:p>
    <w:p w14:paraId="29EE661E" w14:textId="37A8009B" w:rsidR="00D84917" w:rsidRDefault="00D84917" w:rsidP="00D84917">
      <w:r>
        <w:t>WHAT WOULD MAKE THE BIGGEST DIFFERENCE IN PREVENTING AND ENDING VIOLENCE AND WHAT CAN GOVERNMENTS BETTER SUPPORT RECOGNITION AND RESPONSE</w:t>
      </w:r>
    </w:p>
    <w:p w14:paraId="08B7CCB8" w14:textId="66FF0DCB" w:rsidR="00D84917" w:rsidRDefault="00D84917" w:rsidP="00D84917">
      <w:r>
        <w:t xml:space="preserve">The biggest difference governments can make is to fund sustained, place-based and community-centred action that directly addresses the behaviour of controlling, abusive and violent men and supports earlier intervention before harm escalates. Prevention cannot rely only on national campaigns, schools or crisis services. It must be embedded where people live, work, learn, settle and connect. </w:t>
      </w:r>
    </w:p>
    <w:p w14:paraId="3079FBEE" w14:textId="61C11476" w:rsidR="00D84917" w:rsidRDefault="00D84917" w:rsidP="00D84917">
      <w:r>
        <w:t xml:space="preserve">Gender-based violence is not caused by migration, ethnicity, faith or culture. It occurs across communities in Australia and around the world, and is driven by gender inequality, rigid gender stereotypes, the condoning of violence, unequal power and harmful norms of masculinity that normalise aggression and control. The risk, severity and impacts of violence, and barriers to disclosure and support, can be compounded by racism, class inequality, xenophobia, language barriers, visa insecurity and fear of or limited trust in institutions. </w:t>
      </w:r>
    </w:p>
    <w:p w14:paraId="0EB68D11" w14:textId="473AEC67" w:rsidR="00D84917" w:rsidRDefault="00D84917" w:rsidP="00D84917">
      <w:r>
        <w:t xml:space="preserve">This distinction is essential. Migrant and refugee communities are not inherently more violent. However, prevention designed for a general audience may not reach newly arrived communities in a relevant language, through a trusted institution or in a form </w:t>
      </w:r>
      <w:r>
        <w:lastRenderedPageBreak/>
        <w:t xml:space="preserve">that reflects their lived experience. Universal drivers should remain central, while delivery is adapted to different languages, family and community contexts, experiences of displacement and discrimination, and levels of familiarity with Australian laws and services.  </w:t>
      </w:r>
    </w:p>
    <w:p w14:paraId="3ABF2199" w14:textId="3A8BF6B9" w:rsidR="00D84917" w:rsidRDefault="00D84917" w:rsidP="00D84917">
      <w:r>
        <w:t xml:space="preserve">Current policy attention and investment are insufficient to ensure prevention is culturally responsive, community-centred and grounded in the lived experiences of migrant and refugee men and boys. </w:t>
      </w:r>
    </w:p>
    <w:p w14:paraId="1F98C5FB" w14:textId="2684DFBD" w:rsidR="00D84917" w:rsidRDefault="00D84917" w:rsidP="00D84917">
      <w:r>
        <w:t xml:space="preserve">Settlement work is prevention work. It creates important opportunities for prevention and early intervention before harm escalates. The Australian Government describes SETS as an early-intervention program with a national network supporting humanitarian entrants and other eligible vulnerable migrants. Through casework, English-language pathways, employment, youth, parenting and community participation, settlement and multicultural services are continuously building knowledge of rights, respectful relationships, consent, gender equality, economic abuse, coercive control and available support. </w:t>
      </w:r>
    </w:p>
    <w:p w14:paraId="08A816F3" w14:textId="528828E8" w:rsidR="00D84917" w:rsidRDefault="00D84917" w:rsidP="00D84917">
      <w:r>
        <w:t xml:space="preserve">Prevention work with migrant and refugee communities should be designed and delivered through partnerships. Settlement and community organisations bring trust, language, context, and reach. Specialist prevention and behaviour-change services bring gendered violence expertise, risk knowledge, and accountability frameworks. Governments should fund both contributions. Community-led must not mean unpaid, short-term, or unsupported.  </w:t>
      </w:r>
    </w:p>
    <w:p w14:paraId="13169D58" w14:textId="4C961E8D" w:rsidR="00D84917" w:rsidRDefault="00D84917" w:rsidP="00D84917">
      <w:r>
        <w:t xml:space="preserve">The consultation paper also warns that one-off, insufficiently contextualised initiatives can produce backlash and strengthen harmful attitudes. This reinforces the need for sustained, carefully facilitated and evaluated approaches. SPG agrees that one-off awareness sessions are not enough. Prevention requires time to build relationships, test approaches, support facilitators and evaluate change. Short pilots often end just as trust and community capability have developed. Funding should be multi-year, indexed and separate from crisis-response funding. Bicultural workers and community leaders should be paid for their expertise and supported through training and supervision. </w:t>
      </w:r>
    </w:p>
    <w:p w14:paraId="659EE267" w14:textId="77777777" w:rsidR="00D84917" w:rsidRDefault="00D84917" w:rsidP="00D84917">
      <w:r>
        <w:t xml:space="preserve">PROMISING APPROACHES </w:t>
      </w:r>
    </w:p>
    <w:p w14:paraId="5E5EEF08" w14:textId="361EF1FF" w:rsidR="00D84917" w:rsidRDefault="00D84917" w:rsidP="00D84917">
      <w:proofErr w:type="spellStart"/>
      <w:r>
        <w:t>SETSCoP</w:t>
      </w:r>
      <w:proofErr w:type="spellEnd"/>
      <w:r>
        <w:t xml:space="preserve"> members report strong interest in prevention work with men and boys, but limited access to tailored, sustained programs. Promising approaches begin with connection and trust, use strengths-based discussion, and link healthy relationships and accountability to issues that are relevant to participants’ lives. Promising approaches include culturally responsive healthy relationships programs, peer education and sustained community-led prevention with men and boys. These can provide an accessible entry point, but policymakers must recognise that culturally responsive prevention is demanding, sustained work. It requires time, trust, skilled </w:t>
      </w:r>
      <w:r>
        <w:lastRenderedPageBreak/>
        <w:t xml:space="preserve">facilitation and adequate resourcing to challenge gender inequality, power and control without alienating participants or weakening accountability. </w:t>
      </w:r>
    </w:p>
    <w:p w14:paraId="7B04EEA7" w14:textId="77777777" w:rsidR="00D84917" w:rsidRDefault="00D84917" w:rsidP="00D84917">
      <w:r>
        <w:t xml:space="preserve">EMERGING ISSUES </w:t>
      </w:r>
    </w:p>
    <w:p w14:paraId="69158D27" w14:textId="5C369741" w:rsidR="00D84917" w:rsidRDefault="00D84917" w:rsidP="00D84917">
      <w:r>
        <w:t xml:space="preserve">The Second Action Plan should also address online misogyny and technology-facilitated harm in multilingual and culturally relevant ways. Prevention resources should be developed with young people and communities and distributed through the platforms, schools, youth services and community networks they engage with. Early-intervention pathways should be available for people concerned about their behaviour before violence escalates, or the justice system becomes involved. </w:t>
      </w:r>
    </w:p>
    <w:p w14:paraId="7AD50A8C" w14:textId="77777777" w:rsidR="00D84917" w:rsidRDefault="00D84917" w:rsidP="00D84917">
      <w:r>
        <w:t xml:space="preserve">RECOMMENDATIONS  </w:t>
      </w:r>
    </w:p>
    <w:p w14:paraId="5A02A6F3" w14:textId="77777777" w:rsidR="00D84917" w:rsidRDefault="00D84917" w:rsidP="00D84917">
      <w:r>
        <w:t xml:space="preserve">SPG recommends that the Second Action Plan: </w:t>
      </w:r>
    </w:p>
    <w:p w14:paraId="32CBAF7D" w14:textId="77777777" w:rsidR="00D84917" w:rsidRDefault="00D84917" w:rsidP="00D84917">
      <w:r>
        <w:t xml:space="preserve">1. Recognise settlement and multicultural services as partners in prevention and early intervention.  </w:t>
      </w:r>
    </w:p>
    <w:p w14:paraId="4B1827E0" w14:textId="77777777" w:rsidR="00D84917" w:rsidRDefault="00D84917" w:rsidP="00D84917">
      <w:r>
        <w:t xml:space="preserve">2. Fund long-term, community-led, and evidence-informed prevention with migrant and refugee communities.  </w:t>
      </w:r>
    </w:p>
    <w:p w14:paraId="78BE9191" w14:textId="77777777" w:rsidR="00D84917" w:rsidRDefault="00D84917" w:rsidP="00D84917">
      <w:r>
        <w:t xml:space="preserve">3. Support tailored work with men and boys that challenges gender inequality without </w:t>
      </w:r>
      <w:proofErr w:type="spellStart"/>
      <w:r>
        <w:t>racialising</w:t>
      </w:r>
      <w:proofErr w:type="spellEnd"/>
      <w:r>
        <w:t xml:space="preserve"> violence. </w:t>
      </w:r>
    </w:p>
    <w:p w14:paraId="41E355AC" w14:textId="77777777" w:rsidR="00D84917" w:rsidRDefault="00D84917" w:rsidP="00D84917">
      <w:r>
        <w:t xml:space="preserve">4. Commission partnerships between settlement, community, prevention and specialist DFSV services.  </w:t>
      </w:r>
    </w:p>
    <w:p w14:paraId="495A73D6" w14:textId="77777777" w:rsidR="00D84917" w:rsidRDefault="00D84917" w:rsidP="00D84917">
      <w:r>
        <w:t xml:space="preserve">5. Fund bicultural facilitators, interpreters, supervision, referral pathways, piloting and evaluation.  </w:t>
      </w:r>
    </w:p>
    <w:p w14:paraId="2E1AB61B" w14:textId="77777777" w:rsidR="00D84917" w:rsidRDefault="00D84917" w:rsidP="00D84917">
      <w:r>
        <w:t xml:space="preserve">6. Embed healthy relationships and violence-prevention content across relevant settlement, youth, parenting and community programs.  </w:t>
      </w:r>
    </w:p>
    <w:p w14:paraId="6155A5B7" w14:textId="77777777" w:rsidR="00D84917" w:rsidRDefault="00D84917" w:rsidP="00D84917">
      <w:r>
        <w:t>7. Develop multilingual responses to online misogyny and technology-facilitated abuse.</w:t>
      </w:r>
    </w:p>
    <w:p w14:paraId="35EEADCC" w14:textId="5FDFF361" w:rsidR="00D84917" w:rsidRPr="00D84917" w:rsidRDefault="00D84917" w:rsidP="00D84917">
      <w:pPr>
        <w:rPr>
          <w:b/>
          <w:bCs/>
        </w:rPr>
      </w:pPr>
      <w:r w:rsidRPr="00D84917">
        <w:rPr>
          <w:b/>
          <w:bCs/>
        </w:rPr>
        <w:t>Feedback for Priority Area 3: Children and young people in their own right</w:t>
      </w:r>
    </w:p>
    <w:p w14:paraId="51C8E9B9" w14:textId="2DC33C57" w:rsidR="00D84917" w:rsidRDefault="00D84917" w:rsidP="00D84917">
      <w:r>
        <w:t xml:space="preserve">IMPROVING RESPONSES </w:t>
      </w:r>
    </w:p>
    <w:p w14:paraId="23BB35BA" w14:textId="77777777" w:rsidR="00D84917" w:rsidRDefault="00D84917" w:rsidP="00D84917">
      <w:r>
        <w:t xml:space="preserve">The Second Action Plan should ensure that migrant and refugee children and young people, including children with disability and neurodivergent children, are recognised and supported as </w:t>
      </w:r>
      <w:proofErr w:type="gramStart"/>
      <w:r>
        <w:t>victim-survivors in their own right</w:t>
      </w:r>
      <w:proofErr w:type="gramEnd"/>
      <w:r>
        <w:t xml:space="preserve">. Their needs cannot be addressed through services only provided to a parent or through adult domestic and family violence systems.  </w:t>
      </w:r>
    </w:p>
    <w:p w14:paraId="4EA197AF" w14:textId="2D88BD56" w:rsidR="00D84917" w:rsidRDefault="00D84917" w:rsidP="00D84917">
      <w:r>
        <w:t xml:space="preserve">https://pubmed.ncbi.nlm.nih.gov/39066616/  </w:t>
      </w:r>
    </w:p>
    <w:p w14:paraId="79BFD00D" w14:textId="71D451B3" w:rsidR="00D84917" w:rsidRDefault="00D84917" w:rsidP="00D84917">
      <w:r>
        <w:lastRenderedPageBreak/>
        <w:t xml:space="preserve">Children and young people may experience direct violence, coercive control, homelessness, disrupted schooling, family separation, parentification and pressure to manage adult responsibilities. In settlement contexts, some are expected to interpret for parents or help families navigate unfamiliar systems.  </w:t>
      </w:r>
    </w:p>
    <w:p w14:paraId="0D5DFCB5" w14:textId="794F2879" w:rsidR="00D84917" w:rsidRDefault="00D84917" w:rsidP="00D84917">
      <w:r>
        <w:t xml:space="preserve">Children must never be used to interpret disclosures, safety planning, risk information, police interviews or legal and migration advice. Doing so can expose them to distress, place them inside adult conflict and compromise the accuracy and confidentiality of information. However, settlement providers have reported situations where organisations felt they had “no choice” because a suitable interpreter was unavailable, particularly after hours, in regional areas or for less common languages and dialects. This reflects a system failure, not an acceptable practice. Governments and services must ensure timely access to qualified interpreters, including out-of-area and remote options, so that children are never placed in this role. </w:t>
      </w:r>
    </w:p>
    <w:p w14:paraId="4945BA21" w14:textId="6CD0B240" w:rsidR="00D84917" w:rsidRDefault="00D84917" w:rsidP="00D84917">
      <w:r>
        <w:t xml:space="preserve">Youth-specific, culturally responsive pathways are needed. Young people may not see adult violence services as relevant or safe, may fear judgement or family separation, or may be uncertain about confidentiality and what will happen after disclosure. Services should provide clear, age-appropriate and in-language information about violence, consent, rights, confidentiality and available support. Youth settlement services, multicultural youth organisations, schools, health services and specialist child and family violence services should have clear referral and secondary-consultation pathways. </w:t>
      </w:r>
    </w:p>
    <w:p w14:paraId="5D29BBF0" w14:textId="1A98F834" w:rsidR="00D84917" w:rsidRDefault="00D84917" w:rsidP="00D84917">
      <w:r>
        <w:t xml:space="preserve">The Plan should recognise settlement-related circumstances that can shape risk and help-seeking, including forced marriage, family separation and reunification, insecure housing, interrupted education, transnational family pressure and different levels of English proficiency within a family. These factors do not cause violence, but they can affect how harm is experienced, disclosed and addressed. </w:t>
      </w:r>
    </w:p>
    <w:p w14:paraId="251BBB28" w14:textId="77777777" w:rsidR="00D84917" w:rsidRDefault="00D84917" w:rsidP="00D84917">
      <w:r>
        <w:t xml:space="preserve">SERVICES MUST BE DISABILITY-INFORMED AND NEURODIVERSITY-AFFIRMING </w:t>
      </w:r>
    </w:p>
    <w:p w14:paraId="5DBB9A7A" w14:textId="7976B60F" w:rsidR="00D84917" w:rsidRDefault="00D84917" w:rsidP="00D84917">
      <w:r>
        <w:t xml:space="preserve">Neurodiverse children and young people may experience, communicate and respond to violence differently from neurotypical children. A settlement provider advised SPG that distress may present through sensory overwhelm, meltdowns, shutdowns, withdrawal, masking, changes in communication or behaviour, or the loss of recently acquired skills. These responses can be misinterpreted as aggression, defiance, non-compliance or disengagement rather than signs of trauma and unmet support needs. </w:t>
      </w:r>
    </w:p>
    <w:p w14:paraId="13C8366E" w14:textId="5A334F1D" w:rsidR="00D84917" w:rsidRDefault="00D84917" w:rsidP="00D84917">
      <w:r>
        <w:t xml:space="preserve">Similarly, limited eye contact, difficulty answering questions verbally, an inability to provide a linear account, or reliance on non-verbal communication must not be treated as a lack of credibility or unwillingness to cooperate. Practitioners should consider how trauma, disability, communication needs and sensory processing may interact, rather than viewing each issue in isolation. </w:t>
      </w:r>
    </w:p>
    <w:p w14:paraId="6EECBA63" w14:textId="7D6EFA80" w:rsidR="00D84917" w:rsidRDefault="00D84917" w:rsidP="00D84917">
      <w:r>
        <w:lastRenderedPageBreak/>
        <w:t xml:space="preserve">DFV, child protection, health, education, settlement and youth services need training and practical guidance to recognise these different responses and adapt how they communicate, assess safety and provide support. This should include allowing additional time, reducing sensory demands, using clear and concrete language, offering visual or alternative communication methods, involving a trusted support person where safe and chosen by the child, and working with disability specialists. Assessment and support must remain centred on the child’s own experience and should not rely solely on a parent or carer to explain their needs. </w:t>
      </w:r>
    </w:p>
    <w:p w14:paraId="3995AD3A" w14:textId="1CBB0FA8" w:rsidR="00D84917" w:rsidRDefault="00D84917" w:rsidP="00D84917">
      <w:r>
        <w:t>A Western Australian linked-data study published by ANROWS found that children with disability comprised approximately 30 per cent of children identified through police and hospital data as experiencing DFV. Its qualitative research also found that children and young people with disability can be destabilised, isolated and traumatised by violence, while their needs are often not met by existing services. The research calls for trauma-informed, youth-focused and disability-informed practice, practitioner consistency, flexible supports and stronger coordination between services.</w:t>
      </w:r>
    </w:p>
    <w:p w14:paraId="6C6F6DD3" w14:textId="45C11A2D" w:rsidR="00D84917" w:rsidRDefault="00D84917" w:rsidP="00D84917">
      <w:r>
        <w:t>https://www.anrows.org.au/publication/the-nature-and-extent-of-domestic-and-family-violence-exposure-for-children-and-young-people-with-disability/</w:t>
      </w:r>
    </w:p>
    <w:p w14:paraId="53DAFD95" w14:textId="1C161AAC" w:rsidR="00D84917" w:rsidRDefault="00D84917" w:rsidP="00D84917">
      <w:r>
        <w:t>https://www.anrows.org.au/publication/connecting-the-dots-understanding-the-domestic-and-family-violence-experiences-of-children-and-young-people-with-disability-within-and-across-sectors-final-report/</w:t>
      </w:r>
    </w:p>
    <w:p w14:paraId="133F2848" w14:textId="77777777" w:rsidR="00D84917" w:rsidRDefault="00D84917" w:rsidP="00D84917">
      <w:r>
        <w:t xml:space="preserve">EMERGING FORMS OF HARM </w:t>
      </w:r>
    </w:p>
    <w:p w14:paraId="02E43A57" w14:textId="673B349C" w:rsidR="00D84917" w:rsidRDefault="00D84917" w:rsidP="00D84917">
      <w:r>
        <w:t xml:space="preserve">Technology-facilitated abuse, harmful online content and violence in peer and dating relationships require responses designed with young people. This includes education about device and account safety, image-based abuse, deepfakes, online extortion, controlling digital behaviour and harmful sexual content. Resources must be accessible to young people whose first language is not English and should not rely only on parents to communicate sensitive information. </w:t>
      </w:r>
    </w:p>
    <w:p w14:paraId="4F362D68" w14:textId="6C5FB8BA" w:rsidR="00D84917" w:rsidRDefault="00D84917" w:rsidP="00D84917">
      <w:r>
        <w:t xml:space="preserve">Children and young people who use violence or display harmful sexual behaviours require early, developmentally appropriate and evidence-informed intervention. Responses should maintain accountability and victim-survivor safety while considering age, disability, trauma, family circumstances and settlement experience. They should avoid criminalising young people where therapeutic and community-based responses are safe and appropriate. Settlement and youth workers can support identification and referral, but specialist assessment and intervention must be provided by qualified services. </w:t>
      </w:r>
    </w:p>
    <w:p w14:paraId="6C78CEFA" w14:textId="77777777" w:rsidR="00D84917" w:rsidRDefault="00D84917" w:rsidP="00D84917">
      <w:r>
        <w:t xml:space="preserve">MEANINGFUL PARTICIPATION </w:t>
      </w:r>
    </w:p>
    <w:p w14:paraId="05FFBC50" w14:textId="312F1830" w:rsidR="00D84917" w:rsidRDefault="00D84917" w:rsidP="00D84917">
      <w:r>
        <w:lastRenderedPageBreak/>
        <w:t xml:space="preserve">Meaningful participation is also essential. Migrant and refugee children and young people should help shape policy, information, programs and service pathways. Participation should be safe, accessible, supported and paid. Governments should work through trusted youth and settlement organisations, provide interpreters and other access supports, and show participants how their input affected decisions. </w:t>
      </w:r>
    </w:p>
    <w:p w14:paraId="3EE7EE27" w14:textId="77777777" w:rsidR="00D84917" w:rsidRDefault="00D84917" w:rsidP="00D84917">
      <w:r>
        <w:t xml:space="preserve">RECOMMENDATIONS </w:t>
      </w:r>
    </w:p>
    <w:p w14:paraId="67924C37" w14:textId="76BFC5E5" w:rsidR="00D84917" w:rsidRDefault="00D84917" w:rsidP="00D84917">
      <w:r>
        <w:t xml:space="preserve">SPG recommends that the Second Action Plan: </w:t>
      </w:r>
    </w:p>
    <w:p w14:paraId="1FF37A84" w14:textId="33725AF5" w:rsidR="00D84917" w:rsidRDefault="00D84917" w:rsidP="00D84917">
      <w:r>
        <w:t>1. Develop national child- and youth-centred practice standards that address language access, disability, neurodiversity and settlement circumstances.</w:t>
      </w:r>
    </w:p>
    <w:p w14:paraId="29CF93F0" w14:textId="4AD557AA" w:rsidR="00D84917" w:rsidRDefault="00D84917" w:rsidP="00D84917">
      <w:r>
        <w:t>2. Fund culturally responsive child and youth violence services and settlement-linked referral pathways.</w:t>
      </w:r>
    </w:p>
    <w:p w14:paraId="7A9EFE3B" w14:textId="52F90272" w:rsidR="00D84917" w:rsidRDefault="00D84917" w:rsidP="00D84917">
      <w:r>
        <w:t>3. Establish and fund national requirements that children are never used as interpreters and that qualified language support is available.</w:t>
      </w:r>
    </w:p>
    <w:p w14:paraId="58545F3D" w14:textId="3F30D8F9" w:rsidR="00D84917" w:rsidRDefault="00D84917" w:rsidP="00D84917">
      <w:r>
        <w:t>4. Include forced marriage, parentification, transnational abuse and settlement disruption in relevant guidance and training.</w:t>
      </w:r>
    </w:p>
    <w:p w14:paraId="3E082D2D" w14:textId="50008C31" w:rsidR="00D84917" w:rsidRDefault="00D84917" w:rsidP="00D84917">
      <w:r>
        <w:t>5. Develop multilingual, youth-designed responses to technology-facilitated abuse and peer and dating violence.</w:t>
      </w:r>
    </w:p>
    <w:p w14:paraId="2B5AE51E" w14:textId="1DB610CD" w:rsidR="00D84917" w:rsidRDefault="00D84917" w:rsidP="00D84917">
      <w:r>
        <w:t>6. Fund specialist, developmentally appropriate responses for children and young people using violence.</w:t>
      </w:r>
    </w:p>
    <w:p w14:paraId="6F02AD52" w14:textId="77777777" w:rsidR="00D84917" w:rsidRDefault="00D84917" w:rsidP="00D84917">
      <w:r>
        <w:t>7. Embed paid participation by migrant and refugee young people in design, governance and evaluation.</w:t>
      </w:r>
    </w:p>
    <w:p w14:paraId="6AC61389" w14:textId="75CDB415" w:rsidR="00D84917" w:rsidRPr="00D84917" w:rsidRDefault="00D84917" w:rsidP="00D84917">
      <w:pPr>
        <w:rPr>
          <w:b/>
          <w:bCs/>
        </w:rPr>
      </w:pPr>
      <w:r w:rsidRPr="00D84917">
        <w:rPr>
          <w:b/>
          <w:bCs/>
        </w:rPr>
        <w:t>Feedback for Priority Area 4: People who use violence</w:t>
      </w:r>
    </w:p>
    <w:p w14:paraId="59148444" w14:textId="54C027DC" w:rsidR="00D84917" w:rsidRDefault="00D84917" w:rsidP="00D84917">
      <w:r>
        <w:t xml:space="preserve">IMPROVING SUPPORT </w:t>
      </w:r>
    </w:p>
    <w:p w14:paraId="7394093F" w14:textId="7D7B874C" w:rsidR="00D84917" w:rsidRDefault="00D84917" w:rsidP="00D84917">
      <w:r>
        <w:t xml:space="preserve">The greatest opportunity for earlier intervention is to make safe, accessible help available before violence escalates or contact with the justice system becomes the only pathway. People who use violence interact with families, workplaces, health services, schools, community organisations and settlement services. These settings need the capability to recognise concerning behaviours, respond without collusion and connect people to specialist support. </w:t>
      </w:r>
    </w:p>
    <w:p w14:paraId="07C67A12" w14:textId="0054167D" w:rsidR="00D84917" w:rsidRDefault="00D84917" w:rsidP="00D84917">
      <w:r>
        <w:t xml:space="preserve">It is essential that government, services and institutions understand that gender-based violence is not caused by race, ethnicity, faith or culture, and that no one community is inherently violent. GBV’s central drivers include gender inequality, power and control, rigid gender roles and the condoning of violence. Migration, displacement, racism, language barriers and unfamiliarity with Australian systems may shape how a person </w:t>
      </w:r>
      <w:r>
        <w:lastRenderedPageBreak/>
        <w:t xml:space="preserve">understands services or enters an intervention, but they do not excuse violence or reduce responsibility. </w:t>
      </w:r>
    </w:p>
    <w:p w14:paraId="2FACABC6" w14:textId="0E4E00BC" w:rsidR="00D84917" w:rsidRDefault="00D84917" w:rsidP="00D84917">
      <w:proofErr w:type="spellStart"/>
      <w:r>
        <w:t>SETSCoP</w:t>
      </w:r>
      <w:proofErr w:type="spellEnd"/>
      <w:r>
        <w:t xml:space="preserve"> practitioners emphasised that sustainable change requires partnership, cultural humility and locally meaningful ways of discussing gender, responsibility and family relationships. </w:t>
      </w:r>
    </w:p>
    <w:p w14:paraId="45C1BB89" w14:textId="5E525E75" w:rsidR="00D84917" w:rsidRDefault="00D84917" w:rsidP="00D84917">
      <w:proofErr w:type="spellStart"/>
      <w:r>
        <w:t>SETSCoP</w:t>
      </w:r>
      <w:proofErr w:type="spellEnd"/>
      <w:r>
        <w:t xml:space="preserve"> members have identified a gap in accessible pathways for migrant and refugee men who use violence or are concerned about their behaviour. Mainstream behaviour-change and early-intervention programs may be unavailable to people with limited English, may not fund interpreters, or may use language and frameworks that do not connect with participants’ social, cultural or family contexts. Newly arrived men may also need clear information about Australian law, non-physical forms of violence, rights, responsibilities and where to seek help before a crisis occurs. </w:t>
      </w:r>
    </w:p>
    <w:p w14:paraId="34443E54" w14:textId="77777777" w:rsidR="00D84917" w:rsidRDefault="00D84917" w:rsidP="00D84917">
      <w:r>
        <w:t xml:space="preserve">Responses to people who use sexual violence should not be absorbed into general DFV behaviour-change models. The Second Action Plan should support culturally accessible, specialist and evidence-informed pathways for earlier intervention with people using sexual violence. </w:t>
      </w:r>
    </w:p>
    <w:p w14:paraId="78BB9C05" w14:textId="7B5EFFFF" w:rsidR="00D84917" w:rsidRDefault="00D84917" w:rsidP="00D84917">
      <w:r>
        <w:t xml:space="preserve">Sustainable change is more likely when communities are partners in the work rather than passive recipients of externally designed programs. This does not mean transferring responsibility for violence prevention onto communities. It means recognising that effective engagement requires trust, cultural humility and an understanding of how gender, family, leadership, responsibility and community obligations are understood by the people involved. </w:t>
      </w:r>
    </w:p>
    <w:p w14:paraId="294281F2" w14:textId="542F86AF" w:rsidR="00D84917" w:rsidRDefault="00D84917" w:rsidP="00D84917">
      <w:r>
        <w:t xml:space="preserve">“We go in with an approach of partnership, not preaching.” – </w:t>
      </w:r>
      <w:proofErr w:type="spellStart"/>
      <w:r>
        <w:t>SETSCoP</w:t>
      </w:r>
      <w:proofErr w:type="spellEnd"/>
      <w:r>
        <w:t xml:space="preserve"> member at Men, Boys and Prevention Network Meeting  </w:t>
      </w:r>
    </w:p>
    <w:p w14:paraId="44240D54" w14:textId="6FD7603C" w:rsidR="00D84917" w:rsidRDefault="00D84917" w:rsidP="00D84917">
      <w:r>
        <w:t xml:space="preserve">Culturally responsive practice is not simply translating an existing program or presenting a standard framework in a different language. Practitioners must be prepared to listen, adapt their approach and work through concepts that are meaningful to participants, while continuing to challenge gender inequality, control and violence. In some community or faith settings, this may include reframing leadership within families as service and responsibility rather than authority or ownership, or drawing on shared values that emphasise dignity, care, accountability and an obligation not to remain silent when harm occurs. </w:t>
      </w:r>
    </w:p>
    <w:p w14:paraId="0AAB9C10" w14:textId="3493DAC7" w:rsidR="00D84917" w:rsidRDefault="00D84917" w:rsidP="00D84917">
      <w:r>
        <w:t xml:space="preserve">Programs should also help participants distinguish between culture and faith, and the potential misuse of either to justify control or abuse. Cultural practices can change, and community-led discussion can create space for that change without treating participants’ identities as the problem. Adaptation must never weaken accountability or victim-survivor safety.  </w:t>
      </w:r>
    </w:p>
    <w:p w14:paraId="23C07EBB" w14:textId="273CDD3C" w:rsidR="00D84917" w:rsidRDefault="00D84917" w:rsidP="00D84917">
      <w:r>
        <w:lastRenderedPageBreak/>
        <w:t xml:space="preserve">EFFECTIVE APPROACHES AND RECOMMENDATIONS </w:t>
      </w:r>
    </w:p>
    <w:p w14:paraId="37301DAD" w14:textId="65001193" w:rsidR="00D84917" w:rsidRDefault="00D84917" w:rsidP="00D84917">
      <w:r>
        <w:t xml:space="preserve">Settlement and multicultural organisations can provide trusted entry points, community education and supported referrals, but trust requires sustained presence. Governments should fund long-term relationships, local leadership and follow-up, not one-off sessions or short pilots. </w:t>
      </w:r>
    </w:p>
    <w:p w14:paraId="37551EA9" w14:textId="4EAF18E1" w:rsidR="00D84917" w:rsidRDefault="00D84917" w:rsidP="00D84917">
      <w:r>
        <w:t xml:space="preserve">Community and faith leaders, people with lived experience and trusted mentors can strengthen engagement, particularly for young men who may respond better to ongoing one-to-one support than group settings. Their expertise must be properly funded and supported. </w:t>
      </w:r>
    </w:p>
    <w:p w14:paraId="4DE1B35D" w14:textId="5C1B3E07" w:rsidR="00D84917" w:rsidRDefault="00D84917" w:rsidP="00D84917">
      <w:r>
        <w:t xml:space="preserve">The strongest model is partnership, not substitution. Settlement organisations contribute trust, language and community knowledge, while specialist services retain responsibility for risk assessment, behaviour change, accountability, information sharing and victim-survivor safety. </w:t>
      </w:r>
    </w:p>
    <w:p w14:paraId="66AAE05B" w14:textId="77777777" w:rsidR="00D84917" w:rsidRDefault="00D84917" w:rsidP="00D84917">
      <w:r>
        <w:t xml:space="preserve">“It is about instilling connection, rather than correction.” – </w:t>
      </w:r>
      <w:proofErr w:type="spellStart"/>
      <w:r>
        <w:t>SETSCoP</w:t>
      </w:r>
      <w:proofErr w:type="spellEnd"/>
      <w:r>
        <w:t xml:space="preserve"> Member Men, Boys and Prevention Network Meeting  </w:t>
      </w:r>
    </w:p>
    <w:p w14:paraId="7FA9ACCF" w14:textId="1C276F9B" w:rsidR="00D84917" w:rsidRDefault="00D84917" w:rsidP="00D84917">
      <w:r>
        <w:t xml:space="preserve">Culturally responsive interventions should adapt engagement without weakening accountability. Services should use qualified interpreters, communicate clearly, understand migration-related and transnational abuse, and challenge the misuse of faith or culture to justify control. Programs must address all forms of abuse, including threats involving visas, sponsorship, children or relatives overseas. </w:t>
      </w:r>
    </w:p>
    <w:p w14:paraId="6D79CE24" w14:textId="2A36623C" w:rsidR="00D84917" w:rsidRDefault="00D84917" w:rsidP="00D84917">
      <w:r>
        <w:t xml:space="preserve">Victim-survivor safety must remain central through safe information sharing, links with specialist services, clear escalation processes and safeguards against collusion. Family or community involvement should occur only where safe and consistent with the victim-survivor’s wishes. </w:t>
      </w:r>
    </w:p>
    <w:p w14:paraId="74E634AF" w14:textId="77777777" w:rsidR="00D84917" w:rsidRDefault="00D84917" w:rsidP="00D84917">
      <w:r>
        <w:t xml:space="preserve">SPG recommends that the Second Action Plan: </w:t>
      </w:r>
    </w:p>
    <w:p w14:paraId="52E3B9F9" w14:textId="03636594" w:rsidR="00D84917" w:rsidRDefault="00D84917" w:rsidP="00D84917">
      <w:r>
        <w:t>1. Expand early, non-justice pathways for people concerned about their behaviour.</w:t>
      </w:r>
    </w:p>
    <w:p w14:paraId="296D5E1A" w14:textId="173C80B6" w:rsidR="00D84917" w:rsidRDefault="00D84917" w:rsidP="00D84917">
      <w:r>
        <w:t>2. Fund sustained, community-led and co-designed interventions rather than relying on one-off engagement or short-term pilots.</w:t>
      </w:r>
    </w:p>
    <w:p w14:paraId="52C65EF6" w14:textId="07228476" w:rsidR="00D84917" w:rsidRDefault="00D84917" w:rsidP="00D84917">
      <w:r>
        <w:t>3. Require mainstream behaviour-change and early-intervention services to build cultural humility, provide qualified interpreters and adapt engagement to different community contexts.</w:t>
      </w:r>
    </w:p>
    <w:p w14:paraId="6F183B92" w14:textId="09F5375E" w:rsidR="00D84917" w:rsidRDefault="00D84917" w:rsidP="00D84917">
      <w:r>
        <w:t>4. Fund culturally responsive and, where relevant, faith-informed approaches that challenge control and inequality while drawing on locally meaningful concepts of dignity, responsibility, care and leadership.</w:t>
      </w:r>
    </w:p>
    <w:p w14:paraId="46A90D1A" w14:textId="08CE0C29" w:rsidR="00D84917" w:rsidRDefault="00D84917" w:rsidP="00D84917">
      <w:r>
        <w:lastRenderedPageBreak/>
        <w:t>5. Culturally responsive and, where relevant, faith-informed approaches that challenge control and inequality while drawing on locally meaningful concepts of dignity, responsibility, care and leadership.</w:t>
      </w:r>
    </w:p>
    <w:p w14:paraId="675D0B64" w14:textId="7BC7A5B3" w:rsidR="00D84917" w:rsidRDefault="00D84917" w:rsidP="00D84917">
      <w:r>
        <w:t>6. Maintain clear specialist responsibility for risk assessment, behaviour-change intervention, information sharing and victim-survivor safety.</w:t>
      </w:r>
    </w:p>
    <w:p w14:paraId="25B5F20F" w14:textId="1187DC26" w:rsidR="00D84917" w:rsidRDefault="00D84917" w:rsidP="00D84917">
      <w:r>
        <w:t>7. Ensure programs address physical, sexual, psychological, economic, reproductive, migration-related, transnational and technology-facilitated abuse.</w:t>
      </w:r>
    </w:p>
    <w:p w14:paraId="54556639" w14:textId="77777777" w:rsidR="00D84917" w:rsidRDefault="00D84917" w:rsidP="00D84917">
      <w:r>
        <w:t>8. Invest in independent evaluation of adapted interventions, including their impact on accountability, behaviour change and victim-survivor safety.</w:t>
      </w:r>
    </w:p>
    <w:p w14:paraId="7E843AB9" w14:textId="411B6C06" w:rsidR="00D84917" w:rsidRPr="00D84917" w:rsidRDefault="00D84917" w:rsidP="00D84917">
      <w:pPr>
        <w:rPr>
          <w:b/>
          <w:bCs/>
        </w:rPr>
      </w:pPr>
      <w:r w:rsidRPr="00D84917">
        <w:rPr>
          <w:b/>
          <w:bCs/>
        </w:rPr>
        <w:t>Feedback for Priority Area 5: System Integration and Workforce</w:t>
      </w:r>
    </w:p>
    <w:p w14:paraId="29E909E7" w14:textId="540BF1AD" w:rsidR="00D84917" w:rsidRDefault="00D84917" w:rsidP="00D84917">
      <w:r>
        <w:t xml:space="preserve">CREATING A MORE COORDINATED AND CONNECTED SYSTEM </w:t>
      </w:r>
    </w:p>
    <w:p w14:paraId="2F480BD3" w14:textId="69436F55" w:rsidR="00D84917" w:rsidRDefault="00D84917" w:rsidP="00D84917">
      <w:r>
        <w:t xml:space="preserve">The consultation paper recognises non-specialist services as key points of engagement, identification and disclosure. Settlement and multicultural services are a clear example of this workforce. The Second Action Plan should recognise them as part of Australia’s gender-based violence response infrastructure and strengthen links with specialist DFSV and broader community services. </w:t>
      </w:r>
    </w:p>
    <w:p w14:paraId="18A47000" w14:textId="5B1308E3" w:rsidR="00D84917" w:rsidRDefault="00D84917" w:rsidP="00D84917">
      <w:r>
        <w:t>SPG’s 2026 Community Services Roundtables (</w:t>
      </w:r>
      <w:proofErr w:type="gramStart"/>
      <w:r>
        <w:t>https://members.setscop.org.au/wp-content/uploads/2026/07/SPG-Strengthening-Links-Community-Services-Roundtable-Findings-July-2026.pdf)  found</w:t>
      </w:r>
      <w:proofErr w:type="gramEnd"/>
      <w:r>
        <w:t xml:space="preserve"> that people from refugee and migrant backgrounds rarely experience their needs as separate or linear. A person experiencing violence may also require housing, income support, legal advice, migration assistance, healthcare, disability support, transport and language access at the same time. However, services remain divided by program, eligibility, intake process and area of responsibility. When referrals are treated as simple transfers, people can be left moving between systems without receiving effective support.  </w:t>
      </w:r>
    </w:p>
    <w:p w14:paraId="22B7FE5F" w14:textId="0448D3B8" w:rsidR="00D84917" w:rsidRDefault="00D84917" w:rsidP="00D84917">
      <w:r>
        <w:t xml:space="preserve">Settlement providers are often trusted points of contact and may receive disclosures through housing, employment, youth, family or community support. They can explain unfamiliar systems, identify language and migration needs, challenge misinformation, prepare clients for appointments and remain connected when a person is not ready or able to engage with a specialist service. They are not specialist DFV services, but their role in recognition, safe response, supported referral and service navigation should be formally recognised and funded. </w:t>
      </w:r>
    </w:p>
    <w:p w14:paraId="117459ED" w14:textId="78EEF8DB" w:rsidR="00D84917" w:rsidRDefault="00D84917" w:rsidP="00D84917">
      <w:r>
        <w:t xml:space="preserve">Targeted DFV investment through settlement programs has acknowledged the role providers already play in identifying violence, receiving disclosures and supporting access to specialist services. However, the 2026 ANAO audit recorded provider evidence of a mismatch between low-to-medium intensity settlement </w:t>
      </w:r>
      <w:proofErr w:type="gramStart"/>
      <w:r>
        <w:t>models</w:t>
      </w:r>
      <w:proofErr w:type="gramEnd"/>
      <w:r>
        <w:t xml:space="preserve"> and the </w:t>
      </w:r>
      <w:r>
        <w:lastRenderedPageBreak/>
        <w:t xml:space="preserve">high-intensity specialist practice some DFSV cases require, as well as community organisations absorbing complex DFV and mental health cases. </w:t>
      </w:r>
    </w:p>
    <w:p w14:paraId="2604E7E3" w14:textId="02CDE08C" w:rsidR="00D84917" w:rsidRDefault="00D84917" w:rsidP="00D84917">
      <w:r>
        <w:t xml:space="preserve">The Second Action Plan should build on existing settlement-sector capability through funded partnerships, secondary consultation, supervision and clear role boundaries, enabling settlement providers to recognise, respond and refer safely while specialist services retain responsibility for risk assessment, case management and perpetrator intervention. </w:t>
      </w:r>
    </w:p>
    <w:p w14:paraId="3BE5C727" w14:textId="2F2C1F6C" w:rsidR="00D84917" w:rsidRDefault="00D84917" w:rsidP="00D84917">
      <w:r>
        <w:t xml:space="preserve">The priority should not simply be to increase the number of referrals. SPG’s roundtables found that effective support depends on clear roles, direct relationships, adequate service capacity and warm, consent-based handovers. A good referral explains why the referral is being made, confirms what information will be shared, includes direct worker-to-worker contact, addresses interpreter and safety needs, and is followed up. It should also be clear which service remains responsible for each part of the person’s support.  </w:t>
      </w:r>
    </w:p>
    <w:p w14:paraId="6455C25B" w14:textId="798899CE" w:rsidR="00D84917" w:rsidRDefault="00D84917" w:rsidP="00D84917">
      <w:r>
        <w:t xml:space="preserve">Effective coordination should not depend on individual workers or informal relationships. Governments should fund shared referral protocols, named contacts, secondary consultation, joint appointments, staff onboarding and regular cross-sector engagement. Warm referrals and partnership-building are core service activities and should be recognised in funding and reporting arrangements. </w:t>
      </w:r>
    </w:p>
    <w:p w14:paraId="3807C441" w14:textId="0881698D" w:rsidR="00D84917" w:rsidRDefault="00D84917" w:rsidP="00D84917">
      <w:r>
        <w:t xml:space="preserve">WORKFORCE CAPABILITIES AND NEEDED SUPPORTS </w:t>
      </w:r>
    </w:p>
    <w:p w14:paraId="3FC3F2C2" w14:textId="67BB077C" w:rsidR="00D84917" w:rsidRDefault="00D84917" w:rsidP="00D84917">
      <w:r>
        <w:t xml:space="preserve">Specialist risk assessment, case management and perpetrator intervention should remain with appropriately trained services. However, those services must be able to recognise how migrant and refugee victim-survivors may communicate risk. A woman may not name DFV directly, but instead explain that she needs to move home, with details of the abuse embedded in her account. Without culturally responsive practice, this can be treated as a housing request rather than a disclosure of violence and a request for safety. </w:t>
      </w:r>
    </w:p>
    <w:p w14:paraId="781E72C8" w14:textId="0D1B01E8" w:rsidR="00D84917" w:rsidRDefault="00D84917" w:rsidP="00D84917">
      <w:r>
        <w:t xml:space="preserve">Capability must be strengthened across both sectors. Settlement providers need clear information about specialist DFV services, eligibility, waitlists, referrals and escalation pathways. Specialist and broader community services need stronger understanding of settlement programs, migration-related coercive control, visa barriers, interpreter use and the limits of settlement practitioners’ roles. Without this shared understanding, referrals break down, responsibilities become blurred and specialist work can be shifted back to settlement providers. </w:t>
      </w:r>
    </w:p>
    <w:p w14:paraId="2EAEF181" w14:textId="014A9969" w:rsidR="00D84917" w:rsidRDefault="00D84917" w:rsidP="00D84917">
      <w:r>
        <w:t xml:space="preserve">Safe interpreter access is also essential. Services reported limited availability, poor language or dialect matching, confidentiality risks and unclear responsibility for arranging and funding interpreters. Reliance on children, relatives, community members or settlement workers because no suitable interpreter is available is a system </w:t>
      </w:r>
      <w:r>
        <w:lastRenderedPageBreak/>
        <w:t>failure. DFV, legal, health, housing, disability and government services must be funded and required to provide qualified interpreters, including after hours and out-of-area options where needed.</w:t>
      </w:r>
    </w:p>
    <w:p w14:paraId="5BA9D1EA" w14:textId="68FEAA81" w:rsidR="00D84917" w:rsidRDefault="00D84917" w:rsidP="00D84917">
      <w:r>
        <w:t xml:space="preserve">Workforce capability also requires more than one-off training. It depends on organisational policy, induction, continuing professional development, specialist consultation, supervision, manageable caseloads and clear role boundaries. Training should cover culturally responsive and trauma-informed practice, safe interpreter use, visa-related stress, migration-related coercive control, family and community dynamics, and effective collaboration with bicultural workers. </w:t>
      </w:r>
    </w:p>
    <w:p w14:paraId="603842E3" w14:textId="08D26C21" w:rsidR="00D84917" w:rsidRDefault="00D84917" w:rsidP="00D84917">
      <w:r>
        <w:t xml:space="preserve">Workforce support must also address vicarious trauma, cultural load and the cumulative impacts of responding to complex cases. </w:t>
      </w:r>
    </w:p>
    <w:p w14:paraId="696AF8E5" w14:textId="77777777" w:rsidR="00D84917" w:rsidRDefault="00D84917" w:rsidP="00D84917">
      <w:r>
        <w:t xml:space="preserve">In practice, bicultural workers and workers with lived experience of migration, displacement or settlement may be expected to: </w:t>
      </w:r>
    </w:p>
    <w:p w14:paraId="47DB61C0" w14:textId="77777777" w:rsidR="00D84917" w:rsidRDefault="00D84917" w:rsidP="00D84917">
      <w:r>
        <w:t xml:space="preserve">- explain Australian services, laws and processes in culturally meaningful ways  </w:t>
      </w:r>
    </w:p>
    <w:p w14:paraId="4641E68E" w14:textId="77777777" w:rsidR="00D84917" w:rsidRDefault="00D84917" w:rsidP="00D84917">
      <w:r>
        <w:t xml:space="preserve">- help mainstream services understand family, community, faith or migration contexts  </w:t>
      </w:r>
    </w:p>
    <w:p w14:paraId="6936AD53" w14:textId="77777777" w:rsidR="00D84917" w:rsidRDefault="00D84917" w:rsidP="00D84917">
      <w:r>
        <w:t xml:space="preserve">- identify where assumptions or communication styles may lead to misunderstanding  </w:t>
      </w:r>
    </w:p>
    <w:p w14:paraId="71A43DE3" w14:textId="77777777" w:rsidR="00D84917" w:rsidRDefault="00D84917" w:rsidP="00D84917">
      <w:r>
        <w:t xml:space="preserve">- explain why a client may disclose risk indirectly or distrust an institution  </w:t>
      </w:r>
    </w:p>
    <w:p w14:paraId="44E72D84" w14:textId="77777777" w:rsidR="00D84917" w:rsidRDefault="00D84917" w:rsidP="00D84917">
      <w:r>
        <w:t xml:space="preserve">- mediate expectations between clients, families and services  </w:t>
      </w:r>
    </w:p>
    <w:p w14:paraId="2919B33A" w14:textId="0B8AEEF4" w:rsidR="00D84917" w:rsidRDefault="00D84917" w:rsidP="00D84917">
      <w:r>
        <w:t xml:space="preserve">- advise colleagues on culturally safe engagement and referral. </w:t>
      </w:r>
    </w:p>
    <w:p w14:paraId="6D5B05C4" w14:textId="029FE2A2" w:rsidR="00D84917" w:rsidRDefault="00D84917" w:rsidP="00D84917">
      <w:r>
        <w:t xml:space="preserve">These workers, many of whom are employed in settlement services, are essential to effective and culturally responsive service delivery. Yet they are often expected to carry this work alongside already demanding roles, high caseloads and complex client needs. Their contribution must be formally recognised and supported through adequate staffing, fair remuneration, manageable workloads, clear role boundaries, specialist training, supervision and access to secondary consultation. Cultural and linguistic expertise should be treated as core professional capability, not as an informal extra absorbed without time, funding or organisational support. </w:t>
      </w:r>
    </w:p>
    <w:p w14:paraId="57F921DE" w14:textId="77777777" w:rsidR="00D84917" w:rsidRDefault="00D84917" w:rsidP="00D84917">
      <w:r>
        <w:t xml:space="preserve">RECOMMENDATIONS </w:t>
      </w:r>
    </w:p>
    <w:p w14:paraId="0B95309F" w14:textId="77777777" w:rsidR="00D84917" w:rsidRDefault="00D84917" w:rsidP="00D84917">
      <w:r>
        <w:t xml:space="preserve">System integration must extend across portfolios and levels of government. The Department of Social Services and Department of Home Affairs should coordinate with state, territory and local governments to address recurring gaps across DFV, housing, legal assistance, health, disability, social security and settlement. </w:t>
      </w:r>
      <w:proofErr w:type="gramStart"/>
      <w:r>
        <w:t>Particular attention</w:t>
      </w:r>
      <w:proofErr w:type="gramEnd"/>
      <w:r>
        <w:t xml:space="preserve"> is needed where temporary visa status, citizenship or eligibility rules exclude people from support. Clearer pathways cannot solve a situation where the receiving service lacks capacity or the person is not eligible.  </w:t>
      </w:r>
    </w:p>
    <w:p w14:paraId="466F28C0" w14:textId="5691A039" w:rsidR="00D84917" w:rsidRDefault="00D84917" w:rsidP="00D84917">
      <w:r>
        <w:lastRenderedPageBreak/>
        <w:t xml:space="preserve">SPG recommends that the Second Action Plan: </w:t>
      </w:r>
    </w:p>
    <w:p w14:paraId="5E17AD1A" w14:textId="2BBCA12C" w:rsidR="00D84917" w:rsidRDefault="00D84917" w:rsidP="00D84917">
      <w:r>
        <w:t xml:space="preserve">1. Recognise settlement and multicultural services as partners across prevention, early intervention, response, and recovery and healing. </w:t>
      </w:r>
    </w:p>
    <w:p w14:paraId="5CD3C34D" w14:textId="7E7FCF20" w:rsidR="00D84917" w:rsidRDefault="00D84917" w:rsidP="00D84917">
      <w:r>
        <w:t xml:space="preserve">2. Fund practical warm-referral and handover tools, including consent and information-sharing guidance and procedures for identifying safe ways to contact victim-survivors. </w:t>
      </w:r>
    </w:p>
    <w:p w14:paraId="47CFB0EA" w14:textId="0839FD08" w:rsidR="00D84917" w:rsidRDefault="00D84917" w:rsidP="00D84917">
      <w:r>
        <w:t xml:space="preserve">3. Establish two-way cross-sector briefings between settlement and multicultural services, specialist DFSV services and broader community services. </w:t>
      </w:r>
    </w:p>
    <w:p w14:paraId="2188CF07" w14:textId="33ACDFDE" w:rsidR="00D84917" w:rsidRDefault="00D84917" w:rsidP="00D84917">
      <w:r>
        <w:t xml:space="preserve">4. Fund coordination, secondary consultation, joint appointments and relationship-building as core service activities. </w:t>
      </w:r>
    </w:p>
    <w:p w14:paraId="4489C1C9" w14:textId="0A1517D3" w:rsidR="00D84917" w:rsidRDefault="00D84917" w:rsidP="00D84917">
      <w:r>
        <w:t xml:space="preserve">5. Embed referral relationships across organisational levels through named contacts, protocols, onboarding and local networks. </w:t>
      </w:r>
    </w:p>
    <w:p w14:paraId="5AA76877" w14:textId="663FBAC3" w:rsidR="00D84917" w:rsidRDefault="00D84917" w:rsidP="00D84917">
      <w:r>
        <w:t xml:space="preserve">6. Establish national expectations for safe interpreter access across specialist and mainstream services, including qualified, after-hours and out-of-area interpreters where required. </w:t>
      </w:r>
    </w:p>
    <w:p w14:paraId="650809ED" w14:textId="35ECC520" w:rsidR="00D84917" w:rsidRDefault="00D84917" w:rsidP="00D84917">
      <w:r>
        <w:t xml:space="preserve">7. Clarify the role and limits of settlement providers while retaining specialist responsibility for risk assessment, case management and perpetrator intervention. </w:t>
      </w:r>
    </w:p>
    <w:p w14:paraId="26B7B27E" w14:textId="575320E2" w:rsidR="00D84917" w:rsidRDefault="00D84917" w:rsidP="00D84917">
      <w:r>
        <w:t xml:space="preserve">8. Address eligibility, waitlist and service-capacity gaps that prevent referrals from resulting in support.  </w:t>
      </w:r>
    </w:p>
    <w:p w14:paraId="7CFE219F" w14:textId="2B216A26" w:rsidR="00D84917" w:rsidRDefault="00D84917" w:rsidP="00D84917">
      <w:r>
        <w:t xml:space="preserve">9. Establish formal coordination between the Department of Social Services, the Department of Home Affairs, and state and territory systems. </w:t>
      </w:r>
    </w:p>
    <w:p w14:paraId="1B252778" w14:textId="3BF20ACC" w:rsidR="00D84917" w:rsidRPr="00D84917" w:rsidRDefault="00D84917" w:rsidP="00D84917">
      <w:r>
        <w:t>10. Include migrant and refugee women, settlement peaks and multicultural DFSV specialists in implementation, governance and evaluation, focusing on safe access, completed handovers, continuity of support and reduced structural barriers rather than referral volumes alone, with appropriately disaggregated data and strong privacy protections.</w:t>
      </w:r>
    </w:p>
    <w:sectPr w:rsidR="00D84917" w:rsidRPr="00D849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917"/>
    <w:rsid w:val="00022A23"/>
    <w:rsid w:val="0023679E"/>
    <w:rsid w:val="00715993"/>
    <w:rsid w:val="00D807DD"/>
    <w:rsid w:val="00D84917"/>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EA4E"/>
  <w15:chartTrackingRefBased/>
  <w15:docId w15:val="{1BF920E3-274E-4674-8FEC-A80B41FD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9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9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9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9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9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9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9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9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9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917"/>
    <w:rPr>
      <w:rFonts w:eastAsiaTheme="majorEastAsia" w:cstheme="majorBidi"/>
      <w:color w:val="272727" w:themeColor="text1" w:themeTint="D8"/>
    </w:rPr>
  </w:style>
  <w:style w:type="paragraph" w:styleId="Title">
    <w:name w:val="Title"/>
    <w:basedOn w:val="Normal"/>
    <w:next w:val="Normal"/>
    <w:link w:val="TitleChar"/>
    <w:uiPriority w:val="10"/>
    <w:qFormat/>
    <w:rsid w:val="00D84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9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917"/>
    <w:pPr>
      <w:spacing w:before="160"/>
      <w:jc w:val="center"/>
    </w:pPr>
    <w:rPr>
      <w:i/>
      <w:iCs/>
      <w:color w:val="404040" w:themeColor="text1" w:themeTint="BF"/>
    </w:rPr>
  </w:style>
  <w:style w:type="character" w:customStyle="1" w:styleId="QuoteChar">
    <w:name w:val="Quote Char"/>
    <w:basedOn w:val="DefaultParagraphFont"/>
    <w:link w:val="Quote"/>
    <w:uiPriority w:val="29"/>
    <w:rsid w:val="00D84917"/>
    <w:rPr>
      <w:i/>
      <w:iCs/>
      <w:color w:val="404040" w:themeColor="text1" w:themeTint="BF"/>
    </w:rPr>
  </w:style>
  <w:style w:type="paragraph" w:styleId="ListParagraph">
    <w:name w:val="List Paragraph"/>
    <w:basedOn w:val="Normal"/>
    <w:uiPriority w:val="34"/>
    <w:qFormat/>
    <w:rsid w:val="00D84917"/>
    <w:pPr>
      <w:ind w:left="720"/>
      <w:contextualSpacing/>
    </w:pPr>
  </w:style>
  <w:style w:type="character" w:styleId="IntenseEmphasis">
    <w:name w:val="Intense Emphasis"/>
    <w:basedOn w:val="DefaultParagraphFont"/>
    <w:uiPriority w:val="21"/>
    <w:qFormat/>
    <w:rsid w:val="00D84917"/>
    <w:rPr>
      <w:i/>
      <w:iCs/>
      <w:color w:val="0F4761" w:themeColor="accent1" w:themeShade="BF"/>
    </w:rPr>
  </w:style>
  <w:style w:type="paragraph" w:styleId="IntenseQuote">
    <w:name w:val="Intense Quote"/>
    <w:basedOn w:val="Normal"/>
    <w:next w:val="Normal"/>
    <w:link w:val="IntenseQuoteChar"/>
    <w:uiPriority w:val="30"/>
    <w:qFormat/>
    <w:rsid w:val="00D849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917"/>
    <w:rPr>
      <w:i/>
      <w:iCs/>
      <w:color w:val="0F4761" w:themeColor="accent1" w:themeShade="BF"/>
    </w:rPr>
  </w:style>
  <w:style w:type="character" w:styleId="IntenseReference">
    <w:name w:val="Intense Reference"/>
    <w:basedOn w:val="DefaultParagraphFont"/>
    <w:uiPriority w:val="32"/>
    <w:qFormat/>
    <w:rsid w:val="00D849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1A992D-93D6-4A50-9A6F-3D7F4072F430}"/>
</file>

<file path=customXml/itemProps2.xml><?xml version="1.0" encoding="utf-8"?>
<ds:datastoreItem xmlns:ds="http://schemas.openxmlformats.org/officeDocument/2006/customXml" ds:itemID="{1A08F32A-229D-4D6F-9128-F4EDCD02C7F4}"/>
</file>

<file path=customXml/itemProps3.xml><?xml version="1.0" encoding="utf-8"?>
<ds:datastoreItem xmlns:ds="http://schemas.openxmlformats.org/officeDocument/2006/customXml" ds:itemID="{3FDCD63D-97B5-4FB7-8C95-E37AF8FFE002}"/>
</file>

<file path=docProps/app.xml><?xml version="1.0" encoding="utf-8"?>
<Properties xmlns="http://schemas.openxmlformats.org/officeDocument/2006/extended-properties" xmlns:vt="http://schemas.openxmlformats.org/officeDocument/2006/docPropsVTypes">
  <Template>Normal.dotm</Template>
  <TotalTime>4</TotalTime>
  <Pages>14</Pages>
  <Words>5225</Words>
  <Characters>29789</Characters>
  <Application>Microsoft Office Word</Application>
  <DocSecurity>0</DocSecurity>
  <Lines>248</Lines>
  <Paragraphs>69</Paragraphs>
  <ScaleCrop>false</ScaleCrop>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2026-09-04T07:07:00Z</dcterms:created>
  <dcterms:modified xsi:type="dcterms:W3CDTF">2026-09-04T07:11:00Z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