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20E62" w14:textId="0C3E05F5" w:rsidR="0023679E" w:rsidRDefault="000B75C6">
      <w:pPr>
        <w:rPr>
          <w:b/>
          <w:bCs/>
        </w:rPr>
      </w:pPr>
      <w:r w:rsidRPr="000B75C6">
        <w:rPr>
          <w:b/>
          <w:bCs/>
        </w:rPr>
        <w:t>Third</w:t>
      </w:r>
      <w:r w:rsidRPr="000B75C6">
        <w:rPr>
          <w:rFonts w:ascii="Arial" w:hAnsi="Arial" w:cs="Arial"/>
          <w:b/>
          <w:bCs/>
        </w:rPr>
        <w:t>​</w:t>
      </w:r>
      <w:r w:rsidRPr="000B75C6">
        <w:rPr>
          <w:b/>
          <w:bCs/>
        </w:rPr>
        <w:t>Story</w:t>
      </w:r>
    </w:p>
    <w:p w14:paraId="757EF4D7" w14:textId="4857853D" w:rsidR="000B75C6" w:rsidRPr="000B75C6" w:rsidRDefault="000B75C6">
      <w:pPr>
        <w:rPr>
          <w:b/>
          <w:bCs/>
        </w:rPr>
      </w:pPr>
      <w:r w:rsidRPr="000B75C6">
        <w:rPr>
          <w:b/>
          <w:bCs/>
        </w:rPr>
        <w:t>Feedback for Priority Area 1: Victim-survivors</w:t>
      </w:r>
    </w:p>
    <w:p w14:paraId="78C793E9" w14:textId="7617B7A3" w:rsidR="000B75C6" w:rsidRDefault="000B75C6" w:rsidP="000B75C6">
      <w:proofErr w:type="spellStart"/>
      <w:r>
        <w:t>ThirdStory</w:t>
      </w:r>
      <w:proofErr w:type="spellEnd"/>
      <w:r>
        <w:t xml:space="preserve"> works across the family, domestic and sexual violence sector as a design, implementation, learning and evaluation partner. We work alongside governments, specialist services and communities to design and strengthen reform, evaluate complex initiatives, and build the conditions that enable change to spread and scale. This response draws on our work across specialist DFV services, place-based prevention, integrated service models and cross-sector reform initiatives across Australia.</w:t>
      </w:r>
    </w:p>
    <w:p w14:paraId="1B824E8D" w14:textId="77777777" w:rsidR="000B75C6" w:rsidRDefault="000B75C6" w:rsidP="000B75C6">
      <w:r>
        <w:t>From evidence to implementation</w:t>
      </w:r>
    </w:p>
    <w:p w14:paraId="7F63B1EE" w14:textId="06ECE905" w:rsidR="000B75C6" w:rsidRDefault="000B75C6" w:rsidP="000B75C6">
      <w:r>
        <w:t>Australia has invested significantly in understanding what improves safety, wellbeing and recovery for victim-survivors. We now have a substantial evidence base describing both effective interventions and the conditions that support them. The opportunity for the Second Action Plan is to translate this knowledge into consistent practice by investing in the implementation, capability and learning needed for effective approaches to take hold across communities and systems.</w:t>
      </w:r>
    </w:p>
    <w:p w14:paraId="2EADFDF5" w14:textId="77777777" w:rsidR="000B75C6" w:rsidRDefault="000B75C6" w:rsidP="000B75C6">
      <w:r>
        <w:t>Putting people at the centre of the system</w:t>
      </w:r>
    </w:p>
    <w:p w14:paraId="3538220A" w14:textId="49B42195" w:rsidR="000B75C6" w:rsidRDefault="000B75C6" w:rsidP="000B75C6">
      <w:r>
        <w:t>Violence affects every part of a person's life. Housing, health, justice, child protection, financial security and specialist support all become important at different stages of recovery. Yet these systems operate with separate funding, accountabilities and priorities, leaving victim-survivors to navigate multiple services while managing the impacts of violence.</w:t>
      </w:r>
    </w:p>
    <w:p w14:paraId="2553E1B0" w14:textId="1E7936E2" w:rsidR="000B75C6" w:rsidRDefault="000B75C6" w:rsidP="000B75C6">
      <w:r>
        <w:t>Across our work, people consistently describe the burden of repeating their story, coordinating referrals and managing relationships between services on the system's behalf. Organising support around people's lives rather than organisational boundaries would reduce this burden, improve continuity and make better use of existing services.</w:t>
      </w:r>
    </w:p>
    <w:p w14:paraId="6291A7BA" w14:textId="2B3B4934" w:rsidR="000B75C6" w:rsidRDefault="000B75C6" w:rsidP="000B75C6">
      <w:r>
        <w:t xml:space="preserve">Integrated responses are central to achieving this. They improve access, reduce </w:t>
      </w:r>
      <w:proofErr w:type="spellStart"/>
      <w:r>
        <w:t>retraumatisation</w:t>
      </w:r>
      <w:proofErr w:type="spellEnd"/>
      <w:r>
        <w:t xml:space="preserve"> and strengthen coordination across services. These integrated, collaborative responses also depend on trusted, long-term relationships between practitioners, shared governance, agreed referral pathways and opportunities for joint learning. These conditions take years to establish yet are rarely recognised within funding arrangements, despite being essential to effective implementation.</w:t>
      </w:r>
    </w:p>
    <w:p w14:paraId="08DC720D" w14:textId="77777777" w:rsidR="000B75C6" w:rsidRDefault="000B75C6" w:rsidP="000B75C6">
      <w:r>
        <w:t>Funding for recovery, not just crisis</w:t>
      </w:r>
    </w:p>
    <w:p w14:paraId="5E67306A" w14:textId="1C742636" w:rsidR="000B75C6" w:rsidRDefault="000B75C6" w:rsidP="000B75C6">
      <w:r>
        <w:t>Recovery from violence is a long-term process. Crisis intervention is essential, but it represents one stage of leaving violence rather than the whole journey.</w:t>
      </w:r>
    </w:p>
    <w:p w14:paraId="58A1A494" w14:textId="2EEAA2AF" w:rsidR="000B75C6" w:rsidRDefault="000B75C6" w:rsidP="000B75C6">
      <w:r>
        <w:lastRenderedPageBreak/>
        <w:t xml:space="preserve">As people's circumstances change, the support they need also changes. Housing, financial security, legal assistance, parenting support, mental health care and connection to community become </w:t>
      </w:r>
      <w:proofErr w:type="gramStart"/>
      <w:r>
        <w:t>more or less important</w:t>
      </w:r>
      <w:proofErr w:type="gramEnd"/>
      <w:r>
        <w:t xml:space="preserve"> over time. Throughout recovery, continuity of relationships enables support to respond as people's needs evolve.</w:t>
      </w:r>
    </w:p>
    <w:p w14:paraId="723BC29C" w14:textId="7A6FEED5" w:rsidR="000B75C6" w:rsidRDefault="000B75C6" w:rsidP="000B75C6">
      <w:r>
        <w:t>Across our work, organisations consistently identify workforce instability as one of the greatest barriers to providing this continuity. Short-term funding agreements and delays in confirming the next tranche of funding often lead to short-term employment contracts, experienced practitioners leaving the sector, higher caseloads and vacancies that remain unfilled. The timeframe required for recovery rarely aligns with the timeframe of funding agreements, making it difficult to provide the consistent and sustained support that recovery depends upon.</w:t>
      </w:r>
    </w:p>
    <w:p w14:paraId="79A5C105" w14:textId="77777777" w:rsidR="000B75C6" w:rsidRDefault="000B75C6" w:rsidP="000B75C6">
      <w:r>
        <w:t>Specialist and community-led organisations are strategic assets</w:t>
      </w:r>
    </w:p>
    <w:p w14:paraId="5BE5D249" w14:textId="332A6AB9" w:rsidR="000B75C6" w:rsidRDefault="000B75C6" w:rsidP="000B75C6">
      <w:r>
        <w:t>Specialist, culturally responsive and community-led organisations contribute far more than direct service delivery. Their trusted relationships, cultural knowledge, lived expertise and deep understanding of local communities strengthen the effectiveness of the wider service system.</w:t>
      </w:r>
    </w:p>
    <w:p w14:paraId="7DE8EB90" w14:textId="7D4D1318" w:rsidR="000B75C6" w:rsidRDefault="000B75C6" w:rsidP="000B75C6">
      <w:r>
        <w:t>These organisations regularly provide secondary consultation, cultural advice, partnership development, referrals and practice leadership beyond their funded responsibilities. They also generate valuable implementation knowledge about what works in different contexts. Much of this knowledge remains within individual organisations and is often lost when projects conclude or experienced practitioners leave.</w:t>
      </w:r>
    </w:p>
    <w:p w14:paraId="3DB1D004" w14:textId="10E28266" w:rsidR="000B75C6" w:rsidRDefault="000B75C6" w:rsidP="000B75C6">
      <w:r>
        <w:t>Current commissioning arrangements frequently prioritise organisational scale over community trust, cultural legitimacy and specialist capability. The Second Action Plan should recognise specialist and community-led organisations as strategic partners in system reform by investing in the broader contribution they make to implementation, learning and system capability. Commissioners could, for example, use funding mechanisms to incentivise long-term collaboration between large NFPs and smaller specialist providers, so that the system, the FDV field and communities can benefit from the breadth and depth of quality provision that might be possible when they work together on shared priorities.</w:t>
      </w:r>
    </w:p>
    <w:p w14:paraId="6985FA99" w14:textId="77777777" w:rsidR="000B75C6" w:rsidRDefault="000B75C6" w:rsidP="000B75C6">
      <w:r>
        <w:t>Culturally safe and personalised responses should remain central to this approach. Aboriginal and Torres Strait Islander communities, culturally and linguistically diverse communities, people with disability and LGBTQIA+ communities consistently describe trust, cultural safety and genuine partnership as essential foundations for engagement, healing and recovery. This is the core business of specialist and place-based services, and the wider field has much to learn from their deeply personalised approaches.</w:t>
      </w:r>
    </w:p>
    <w:p w14:paraId="53EBB4EB" w14:textId="77777777" w:rsidR="000B75C6" w:rsidRDefault="000B75C6" w:rsidP="000B75C6"/>
    <w:p w14:paraId="14888672" w14:textId="77777777" w:rsidR="000B75C6" w:rsidRDefault="000B75C6" w:rsidP="000B75C6">
      <w:r>
        <w:t>Invest in the infrastructure that enables implementation</w:t>
      </w:r>
    </w:p>
    <w:p w14:paraId="480E9520" w14:textId="5CB12E23" w:rsidR="000B75C6" w:rsidRDefault="000B75C6" w:rsidP="000B75C6">
      <w:r>
        <w:t>Integrated systems do not emerge just because organisations are encouraged to collaborate. They are built through sustained investment in the relational infrastructure that enables collaboration.</w:t>
      </w:r>
    </w:p>
    <w:p w14:paraId="112638A8" w14:textId="1443DF91" w:rsidR="000B75C6" w:rsidRDefault="000B75C6" w:rsidP="000B75C6">
      <w:r>
        <w:t>Across our work, organisations consistently identify the same enabling conditions: backbone coordination, shared governance, trusted relationships between practitioners, agreed referral pathways, service mapping, opportunities for joint learning and mechanisms for continuous improvement. These functions rarely receive dedicated investment despite being critical to effective implementation.</w:t>
      </w:r>
    </w:p>
    <w:p w14:paraId="0E17DDEB" w14:textId="0AE471E8" w:rsidR="000B75C6" w:rsidRDefault="000B75C6" w:rsidP="000B75C6">
      <w:r>
        <w:t>Place-based initiatives demonstrate what becomes possible when this infrastructure is supported over time. Their success depends on years of investment in local relationships, collaborative leadership and shared practice, alongside co-location where appropriate.</w:t>
      </w:r>
    </w:p>
    <w:p w14:paraId="2B4AE818" w14:textId="78F2758B" w:rsidR="000B75C6" w:rsidRDefault="000B75C6" w:rsidP="000B75C6">
      <w:r>
        <w:t>The Second Action Plan should recognise implementation infrastructure as an essential component of reform. Longer funding agreements, earlier contract decisions, investment across portfolio boundaries and explicit funding for collaboration would strengthen workforce stability, improve service integration and create the conditions for evidence-informed practice to spread across jurisdictions.</w:t>
      </w:r>
    </w:p>
    <w:p w14:paraId="73B6A50D" w14:textId="77777777" w:rsidR="000B75C6" w:rsidRDefault="000B75C6" w:rsidP="000B75C6">
      <w:r>
        <w:t>Recommendations</w:t>
      </w:r>
    </w:p>
    <w:p w14:paraId="40E6D6BD" w14:textId="77777777" w:rsidR="000B75C6" w:rsidRDefault="000B75C6" w:rsidP="000B75C6">
      <w:r>
        <w:t>Invest in implementation as a national reform priority by strengthening workforce capability, implementation support and learning infrastructure that enables effective practice to spread.</w:t>
      </w:r>
    </w:p>
    <w:p w14:paraId="72C8E39A" w14:textId="77777777" w:rsidR="000B75C6" w:rsidRDefault="000B75C6" w:rsidP="000B75C6">
      <w:r>
        <w:t>Build integrated, person-centred systems by investing in shared governance, referral pathways, backbone coordination and collaborative practice across sectors.</w:t>
      </w:r>
    </w:p>
    <w:p w14:paraId="1FD08E12" w14:textId="77777777" w:rsidR="000B75C6" w:rsidRDefault="000B75C6" w:rsidP="000B75C6">
      <w:r>
        <w:t>Shift investment towards long-term recovery by aligning funding arrangements with the time required for healing and ensuring continuity of support.</w:t>
      </w:r>
    </w:p>
    <w:p w14:paraId="1EE71D96" w14:textId="77777777" w:rsidR="000B75C6" w:rsidRDefault="000B75C6" w:rsidP="000B75C6">
      <w:r>
        <w:t>Reform commissioning to recognise specialist, culturally responsive and community-led organisations as strategic partners in implementation, learning and system capability.</w:t>
      </w:r>
    </w:p>
    <w:p w14:paraId="2366BD30" w14:textId="77777777" w:rsidR="000B75C6" w:rsidRDefault="000B75C6" w:rsidP="000B75C6">
      <w:r>
        <w:t>Strengthen earlier access to support through trusted community settings and clear pathways into specialist services.</w:t>
      </w:r>
    </w:p>
    <w:p w14:paraId="077096CE" w14:textId="77777777" w:rsidR="000B75C6" w:rsidRDefault="000B75C6" w:rsidP="000B75C6">
      <w:r>
        <w:t>Invest in the enabling infrastructure that supports collaboration, including service mapping, joint learning, place-based partnerships and continuous improvement.</w:t>
      </w:r>
    </w:p>
    <w:p w14:paraId="363E2E71" w14:textId="77777777" w:rsidR="000B75C6" w:rsidRDefault="000B75C6" w:rsidP="000B75C6">
      <w:pPr>
        <w:rPr>
          <w:b/>
          <w:bCs/>
        </w:rPr>
      </w:pPr>
    </w:p>
    <w:p w14:paraId="52C512D6" w14:textId="739BACB9" w:rsidR="000B75C6" w:rsidRPr="000B75C6" w:rsidRDefault="000B75C6" w:rsidP="000B75C6">
      <w:pPr>
        <w:rPr>
          <w:b/>
          <w:bCs/>
        </w:rPr>
      </w:pPr>
      <w:r w:rsidRPr="000B75C6">
        <w:rPr>
          <w:b/>
          <w:bCs/>
        </w:rPr>
        <w:lastRenderedPageBreak/>
        <w:t>Feedback for Priority Area 2: Prevention and early intervention</w:t>
      </w:r>
    </w:p>
    <w:p w14:paraId="126BA285" w14:textId="0A887AFF" w:rsidR="000B75C6" w:rsidRDefault="000B75C6" w:rsidP="000B75C6">
      <w:r>
        <w:t>Australia has developed a strong evidence base for preventing family, domestic and sexual violence. We have a much clearer understanding of the attitudes, relationships and conditions that contribute to violence, alongside growing evidence about the approaches that strengthen equality, respect and accountability. The opportunity for the Second Action Plan is to move from knowing what works to embedding prevention consistently across the systems and settings that shape everyday life.</w:t>
      </w:r>
    </w:p>
    <w:p w14:paraId="46468F46" w14:textId="77777777" w:rsidR="000B75C6" w:rsidRDefault="000B75C6" w:rsidP="000B75C6">
      <w:r>
        <w:t>Prevention belongs in every system</w:t>
      </w:r>
    </w:p>
    <w:p w14:paraId="5F8929D5" w14:textId="30E3493A" w:rsidR="000B75C6" w:rsidRDefault="000B75C6" w:rsidP="000B75C6">
      <w:r>
        <w:t xml:space="preserve">Evidence on public health approaches tells us that prevention needs to be embedded across the systems where people live, learn, work and connect, rather than delivered solely by specialist prevention organisations. Changes in mindset and behaviour about gender roles requires what can sometimes feel like a complex coordination of cultivating motivation to make different choices, creating opportunities for new ways of thinking and being to emerge, and supporting people to develop new personal capabilities over time. Violence could be more effectively prevented if respect, equality and accountability are reinforced consistently throughout people's lives, creating the enabling conditions for this change to occur. </w:t>
      </w:r>
    </w:p>
    <w:p w14:paraId="7DE8C85D" w14:textId="1A7CFF94" w:rsidR="000B75C6" w:rsidRDefault="000B75C6" w:rsidP="000B75C6">
      <w:r>
        <w:t>Every institution teaches people something about power, relationships and belonging. Whether intentionally or not, schools, workplaces, sporting clubs, health services, community organisations, and governments all reinforce norms about respect, equality, and accountability through the decisions they make, the behaviours they reward, and the cultures they create. Preventing violence therefore cannot sit solely within specialist prevention services. It requires a whole-of-society approach that embeds prevention across the everyday settings where people learn, work, participate and build relationships. The Second Action Plan should strengthen the capability of these universal systems to recognise their role in prevention and to consistently reinforce the conditions that reduce violence before it occurs.</w:t>
      </w:r>
    </w:p>
    <w:p w14:paraId="665B979C" w14:textId="77777777" w:rsidR="000B75C6" w:rsidRDefault="000B75C6" w:rsidP="000B75C6">
      <w:r>
        <w:t>Communities make prevention possible</w:t>
      </w:r>
    </w:p>
    <w:p w14:paraId="025D59CF" w14:textId="48658B82" w:rsidR="000B75C6" w:rsidRDefault="000B75C6" w:rsidP="000B75C6">
      <w:r>
        <w:t>Across the evidence, people are more likely to recognise harmful behaviours and challenge harmful norms when messages come from people they already know and trust. Family members, Elders, coaches, peers, faith leaders and respected community members often have greater influence than public campaigns or external experts.</w:t>
      </w:r>
    </w:p>
    <w:p w14:paraId="26D69AD0" w14:textId="7AA5E3A6" w:rsidR="000B75C6" w:rsidRDefault="000B75C6" w:rsidP="000B75C6">
      <w:r>
        <w:t xml:space="preserve">This is particularly evident in work with men and boys. Approaches that connect with identities that men already value, such as being a father, teammate, community member or cultural leader, consistently show greater promise than approaches that position men primarily as problems to be solved. Our research and direct experience facilitating a community-centred primary prevention initiative tells us that these </w:t>
      </w:r>
      <w:r>
        <w:lastRenderedPageBreak/>
        <w:t xml:space="preserve">approaches work because they come from a position of strength instead of blame and judgement. They build on men’s identity and ambitions for </w:t>
      </w:r>
      <w:proofErr w:type="gramStart"/>
      <w:r>
        <w:t>themselves, and</w:t>
      </w:r>
      <w:proofErr w:type="gramEnd"/>
      <w:r>
        <w:t xml:space="preserve"> are usually led by trusted local leaders with a deep understanding of context rather than external role models and experts who often feel unrelatable. This is especially so in rural communities and contexts where institutional trust is low. </w:t>
      </w:r>
    </w:p>
    <w:p w14:paraId="558AAD4A" w14:textId="491B46F3" w:rsidR="000B75C6" w:rsidRDefault="000B75C6" w:rsidP="000B75C6">
      <w:r>
        <w:t xml:space="preserve">These trusted leaders need support to have an even greater impact: they are often working for free, convening men on evenings and weekends around their own work and family commitments, and sometimes burn out because there </w:t>
      </w:r>
      <w:proofErr w:type="gramStart"/>
      <w:r>
        <w:t>is</w:t>
      </w:r>
      <w:proofErr w:type="gramEnd"/>
      <w:r>
        <w:t xml:space="preserve"> no backbone or administrative resources to rely on when demand grows. Some leaders whose convening efforts begin with a focus on men’s mental health also need help to align their approaches to the evidence base about primary prevention of FDV.</w:t>
      </w:r>
    </w:p>
    <w:p w14:paraId="20AADDA5" w14:textId="367DA4A1" w:rsidR="000B75C6" w:rsidRDefault="000B75C6" w:rsidP="000B75C6">
      <w:r>
        <w:t>Prevention is ultimately strengthened when communities are supported to adapt evidence-informed approaches to their own contexts while maintaining fidelity to the principles that underpin effective practice. Building local capability creates the conditions for prevention to continue long after individual programmes have ended.</w:t>
      </w:r>
    </w:p>
    <w:p w14:paraId="5605D6B6" w14:textId="77777777" w:rsidR="000B75C6" w:rsidRDefault="000B75C6" w:rsidP="000B75C6">
      <w:r>
        <w:t>Start earlier and strengthen the environments around children</w:t>
      </w:r>
    </w:p>
    <w:p w14:paraId="715F0CC2" w14:textId="0D2191DA" w:rsidR="000B75C6" w:rsidRDefault="000B75C6" w:rsidP="000B75C6">
      <w:r>
        <w:t>Respectful relationships education remains an important investment, and there is an opportunity to strengthen prevention even earlier. Children's understandings of relationships, gender, belonging and conflict begin developing well before adolescence through everyday interactions with parents, carers, educators and the wider community.</w:t>
      </w:r>
    </w:p>
    <w:p w14:paraId="5B0DE12A" w14:textId="5BE5181C" w:rsidR="000B75C6" w:rsidRDefault="000B75C6" w:rsidP="000B75C6">
      <w:r>
        <w:t>Early childhood services, primary schools and families all play an important role in shaping these experiences through role modelling, consistent expectations and positive relationships. Investing earlier provides an opportunity to strengthen protective factors before harmful attitudes and behaviours become established.</w:t>
      </w:r>
    </w:p>
    <w:p w14:paraId="6665B528" w14:textId="7EDAC1AF" w:rsidR="000B75C6" w:rsidRDefault="000B75C6" w:rsidP="000B75C6">
      <w:r>
        <w:t xml:space="preserve">Through our work developing whole-school respectful relationships approaches with primary schools, we have heard and observed that teachers often lack the confidence and capabilities to engage students and their families in respectful relationships education. Teachers need targeted support to explore the subject matter, design learning experiences that respond to their unique community </w:t>
      </w:r>
      <w:proofErr w:type="gramStart"/>
      <w:r>
        <w:t>context, and</w:t>
      </w:r>
      <w:proofErr w:type="gramEnd"/>
      <w:r>
        <w:t xml:space="preserve"> be able to implement approaches that can be embedded into the fabric of the whole school instead of within just the health learning area. </w:t>
      </w:r>
    </w:p>
    <w:p w14:paraId="66E39B3E" w14:textId="77777777" w:rsidR="000B75C6" w:rsidRDefault="000B75C6" w:rsidP="000B75C6">
      <w:r>
        <w:t>Better understand whole-family approaches and support the scale of what works</w:t>
      </w:r>
    </w:p>
    <w:p w14:paraId="348472BB" w14:textId="29455CC6" w:rsidR="000B75C6" w:rsidRDefault="000B75C6" w:rsidP="000B75C6">
      <w:r>
        <w:t xml:space="preserve">First Nations communities recognise a need for whole-family healing approaches for long-term impact, rather than always approaching violence with an individual focus. Evidence about FDV in First Nations communities recognises that violence is deeply rooted in the compounding impacts of colonisation, leading to First Nations women and </w:t>
      </w:r>
      <w:r>
        <w:lastRenderedPageBreak/>
        <w:t xml:space="preserve">children experiencing higher rates of violence than the broader Australian population. Given the context of intergenerational trauma, many First Nations leaders are emphatic about the need for holistic, whole-family support that is designed and owned by communities themselves. </w:t>
      </w:r>
    </w:p>
    <w:p w14:paraId="1BEEC67C" w14:textId="6504D7B1" w:rsidR="000B75C6" w:rsidRDefault="000B75C6" w:rsidP="000B75C6">
      <w:r>
        <w:t xml:space="preserve">There are </w:t>
      </w:r>
      <w:proofErr w:type="gramStart"/>
      <w:r>
        <w:t>a number of</w:t>
      </w:r>
      <w:proofErr w:type="gramEnd"/>
      <w:r>
        <w:t xml:space="preserve"> examples of whole-family, culturally embedded, coordinated, interconnected approaches already underway which the Second Action Plan should seek to learn from, and create resourced opportunities for the principles of these approaches to embed and scale elsewhere. The responses that have been described as working are those that are able to hold various government and non-government institutions accountable to providing the necessary resources and support that families need - and those which ensure that accountability for change comes from within communities too.   </w:t>
      </w:r>
    </w:p>
    <w:p w14:paraId="32413E9E" w14:textId="77777777" w:rsidR="000B75C6" w:rsidRDefault="000B75C6" w:rsidP="000B75C6">
      <w:r>
        <w:t>Invest in implementation</w:t>
      </w:r>
    </w:p>
    <w:p w14:paraId="41F7F647" w14:textId="05D3913F" w:rsidR="000B75C6" w:rsidRDefault="000B75C6" w:rsidP="000B75C6">
      <w:r>
        <w:t>Many prevention initiatives demonstrate promising outcomes, yet funding often focuses on programme delivery without adequately investing in the conditions that enable effective implementation and sustained participation.</w:t>
      </w:r>
    </w:p>
    <w:p w14:paraId="541C97F2" w14:textId="2077DF9A" w:rsidR="000B75C6" w:rsidRDefault="000B75C6" w:rsidP="000B75C6">
      <w:r>
        <w:t>Practical barriers, including transport, childcare, outreach and culturally responsive delivery, continue to limit access for many communities. Organisations also describe limited opportunities to adapt programmes, strengthen implementation capability or learn from one another's experience. As a result, promising approaches frequently remain localised rather than becoming embedded at scale.</w:t>
      </w:r>
    </w:p>
    <w:p w14:paraId="18DD4C04" w14:textId="31C9D5E3" w:rsidR="000B75C6" w:rsidRDefault="000B75C6" w:rsidP="000B75C6">
      <w:r>
        <w:t>Long-term investment should therefore support the full implementation system, including workforce capability, partnership development, adaptation, community engagement and sustained delivery, alongside programme funding itself.</w:t>
      </w:r>
    </w:p>
    <w:p w14:paraId="7CB9F417" w14:textId="77777777" w:rsidR="000B75C6" w:rsidRDefault="000B75C6" w:rsidP="000B75C6">
      <w:r>
        <w:t>Build a prevention system that learns</w:t>
      </w:r>
    </w:p>
    <w:p w14:paraId="2351C787" w14:textId="271F2F1F" w:rsidR="000B75C6" w:rsidRDefault="000B75C6" w:rsidP="000B75C6">
      <w:r>
        <w:t>Effective prevention depends on a system that continuously learns and improves. While Australia has generated substantial evidence, implementation knowledge remains fragmented across organisations, jurisdictions and sectors. Valuable insights about adaptation, engagement and delivery are often retained within individual projects rather than shared across the broader field.</w:t>
      </w:r>
    </w:p>
    <w:p w14:paraId="13604656" w14:textId="77777777" w:rsidR="000B75C6" w:rsidRDefault="000B75C6" w:rsidP="000B75C6">
      <w:r>
        <w:t>The Second Action Plan should invest in the infrastructure that enables collective learning, including communities of practice, implementation support, knowledge mobilisation, cross-sector partnerships and opportunities for practitioners, researchers, policymakers, funders and people with lived experience to learn together. Strengthening these mechanisms would enable effective approaches to spread more quickly while supporting adaptation to different communities and contexts.</w:t>
      </w:r>
    </w:p>
    <w:p w14:paraId="6F76FEDF" w14:textId="77777777" w:rsidR="000B75C6" w:rsidRDefault="000B75C6" w:rsidP="000B75C6"/>
    <w:p w14:paraId="431CA29A" w14:textId="77777777" w:rsidR="000B75C6" w:rsidRDefault="000B75C6" w:rsidP="000B75C6">
      <w:r>
        <w:lastRenderedPageBreak/>
        <w:t>Recommendations</w:t>
      </w:r>
    </w:p>
    <w:p w14:paraId="3C96D5DF" w14:textId="77777777" w:rsidR="000B75C6" w:rsidRDefault="000B75C6" w:rsidP="000B75C6">
      <w:r>
        <w:t>Embed primary prevention across universal systems including education, health, workplaces, sport, local government and community services so prevention becomes part of everyday practice.</w:t>
      </w:r>
    </w:p>
    <w:p w14:paraId="0197A362" w14:textId="77777777" w:rsidR="000B75C6" w:rsidRDefault="000B75C6" w:rsidP="000B75C6">
      <w:r>
        <w:t>Invest in implementation alongside programme delivery, including workforce capability, partnership development, adaptation, community engagement and sustained implementation.</w:t>
      </w:r>
    </w:p>
    <w:p w14:paraId="31639223" w14:textId="77777777" w:rsidR="000B75C6" w:rsidRDefault="000B75C6" w:rsidP="000B75C6">
      <w:r>
        <w:t>Learn more about the promise of whole-family approaches and adequately resource First Nations communities to design and own the approaches that work for their families.</w:t>
      </w:r>
    </w:p>
    <w:p w14:paraId="53EA10A5" w14:textId="77777777" w:rsidR="000B75C6" w:rsidRDefault="000B75C6" w:rsidP="000B75C6">
      <w:r>
        <w:t>Strengthen place-based prevention by supporting communities to adapt evidence-informed approaches through trusted local leadership and culturally responsive practice.</w:t>
      </w:r>
    </w:p>
    <w:p w14:paraId="558D7DAB" w14:textId="77777777" w:rsidR="000B75C6" w:rsidRDefault="000B75C6" w:rsidP="000B75C6">
      <w:r>
        <w:t xml:space="preserve">Increase investment in early childhood and primary school settings to strengthen the social conditions that protect against violence from the earliest </w:t>
      </w:r>
      <w:proofErr w:type="gramStart"/>
      <w:r>
        <w:t>years, and</w:t>
      </w:r>
      <w:proofErr w:type="gramEnd"/>
      <w:r>
        <w:t xml:space="preserve"> build the confidence and capabilities of educators to teach respectful relationships education. </w:t>
      </w:r>
    </w:p>
    <w:p w14:paraId="34C8CE51" w14:textId="77777777" w:rsidR="000B75C6" w:rsidRDefault="000B75C6" w:rsidP="000B75C6">
      <w:r>
        <w:t>Establish national learning infrastructure that enables organisations to share implementation knowledge, build capability and accelerate the spread of effective prevention practice.</w:t>
      </w:r>
    </w:p>
    <w:p w14:paraId="0A7340A8" w14:textId="2F753843" w:rsidR="000B75C6" w:rsidRPr="000B75C6" w:rsidRDefault="000B75C6" w:rsidP="000B75C6">
      <w:pPr>
        <w:rPr>
          <w:b/>
          <w:bCs/>
        </w:rPr>
      </w:pPr>
      <w:r w:rsidRPr="000B75C6">
        <w:rPr>
          <w:b/>
          <w:bCs/>
        </w:rPr>
        <w:t>Feedback for Priority Area 3: Children and young people in their own right</w:t>
      </w:r>
    </w:p>
    <w:p w14:paraId="12C3E611" w14:textId="3EFC3A62" w:rsidR="000B75C6" w:rsidRDefault="000B75C6" w:rsidP="000B75C6">
      <w:r>
        <w:t xml:space="preserve">Children and young people experience family, domestic and sexual </w:t>
      </w:r>
      <w:proofErr w:type="gramStart"/>
      <w:r>
        <w:t>violence in their own right</w:t>
      </w:r>
      <w:proofErr w:type="gramEnd"/>
      <w:r>
        <w:t>. Policy across Australia increasingly recognises this, yet implementation has not kept pace. Children continue to be recognised primarily through the adults around them, with their own experiences, outcomes and recovery needs inconsistently reflected in assessment, commissioning, data collection and service design.</w:t>
      </w:r>
    </w:p>
    <w:p w14:paraId="2CA10F12" w14:textId="6D58857C" w:rsidR="000B75C6" w:rsidRDefault="000B75C6" w:rsidP="000B75C6">
      <w:r>
        <w:t>The opportunity for the Second Action Plan is to embed child-centred practice across the systems that shape children's lives, ensuring they are recognised as victim-survivors, supported through their developmental needs and meaningfully involved in the decisions that affect them.</w:t>
      </w:r>
    </w:p>
    <w:p w14:paraId="39CBED06" w14:textId="77777777" w:rsidR="000B75C6" w:rsidRDefault="000B75C6" w:rsidP="000B75C6">
      <w:r>
        <w:t>Recognise children as victim-survivors in practice</w:t>
      </w:r>
    </w:p>
    <w:p w14:paraId="5F50CBFB" w14:textId="77777777" w:rsidR="000B75C6" w:rsidRDefault="000B75C6" w:rsidP="000B75C6">
      <w:r>
        <w:t>Children’s exposure to family violence can have a significantly detrimental impact on their long-term health and wellbeing, regardless of the form that exposure takes.  Children should be visible within eligibility criteria, risk assessment, case planning, commissioning, contracting, reporting and data systems, with their own goals, outcomes and recovery pathways recognised alongside those of their parents.</w:t>
      </w:r>
    </w:p>
    <w:p w14:paraId="398DDD6B" w14:textId="7805D59D" w:rsidR="000B75C6" w:rsidRDefault="000B75C6" w:rsidP="000B75C6">
      <w:r>
        <w:lastRenderedPageBreak/>
        <w:t>Across our work, specialist services routinely provide direct support to children despite many not being funded to do so. Embedding child-centred practice within commissioning and service design would ensure children's needs are consistently recognised rather than relying on organisations to absorb this work within adult service models.</w:t>
      </w:r>
    </w:p>
    <w:p w14:paraId="12741CBA" w14:textId="77777777" w:rsidR="000B75C6" w:rsidRDefault="000B75C6" w:rsidP="000B75C6">
      <w:r>
        <w:t>Recognise children earlier</w:t>
      </w:r>
    </w:p>
    <w:p w14:paraId="1B1782A4" w14:textId="12E0D3B6" w:rsidR="000B75C6" w:rsidRDefault="000B75C6" w:rsidP="000B75C6">
      <w:r>
        <w:t>Children are often visible across multiple services long before risk escalates, including maternal and child health, early childhood education, schools, health services, police, specialist services and child protection. These systems frequently hold pieces of the picture without connecting them into a coordinated response.</w:t>
      </w:r>
    </w:p>
    <w:p w14:paraId="22D9F67D" w14:textId="5626A157" w:rsidR="000B75C6" w:rsidRDefault="000B75C6" w:rsidP="000B75C6">
      <w:r>
        <w:t>Children and young people consistently describe trying to seek help, being minimised or moved between services while risk continues to grow. Being listened to, believed and responded to is itself an important protective factor.</w:t>
      </w:r>
    </w:p>
    <w:p w14:paraId="7209EDFF" w14:textId="23087799" w:rsidR="000B75C6" w:rsidRDefault="000B75C6" w:rsidP="000B75C6">
      <w:r>
        <w:t>Universal services have significant opportunities to identify harm earlier, provided practitioners have the capability, confidence and referral pathways to respond effectively.</w:t>
      </w:r>
    </w:p>
    <w:p w14:paraId="01FC3E9C" w14:textId="77777777" w:rsidR="000B75C6" w:rsidRDefault="000B75C6" w:rsidP="000B75C6">
      <w:r>
        <w:t>Support schools to meet their students’ needs</w:t>
      </w:r>
    </w:p>
    <w:p w14:paraId="5D09B4B4" w14:textId="16E0FF21" w:rsidR="000B75C6" w:rsidRDefault="000B75C6" w:rsidP="000B75C6">
      <w:r>
        <w:t xml:space="preserve">Schools are not just places to identify children and young people at risk of or experiencing violence: they are one of the most important environments for recovery, belonging, stability and healthy relationships. Cognitive research shows that trauma affects attendance, executive functioning, belonging, transitions, intellectual and social engagement and identity - however, teachers and school leaders are often not equipped with the expertise or resources to support students to heal from their experiences. Educators need capability-building in trauma-informed approaches, opportunities to grow their confidence, and the skills and resources to convene and collaborate with health professionals, families, and young people themselves. </w:t>
      </w:r>
    </w:p>
    <w:p w14:paraId="640E47DB" w14:textId="50A84099" w:rsidR="000B75C6" w:rsidRDefault="000B75C6" w:rsidP="000B75C6">
      <w:r>
        <w:t>Young people experiencing trauma need more than cold referrals and connections: they need the trusted adults in their lives to be able to work together and engage them meaningfully in decisions about their recovery and healing.</w:t>
      </w:r>
    </w:p>
    <w:p w14:paraId="12E77A5F" w14:textId="77777777" w:rsidR="000B75C6" w:rsidRDefault="000B75C6" w:rsidP="000B75C6">
      <w:r>
        <w:t xml:space="preserve">Ensure a safe, stable home </w:t>
      </w:r>
    </w:p>
    <w:p w14:paraId="38A7BD2A" w14:textId="61C2FC7B" w:rsidR="000B75C6" w:rsidRDefault="000B75C6" w:rsidP="000B75C6">
      <w:r>
        <w:t xml:space="preserve">In the current housing crisis, women and children are struggling to find a safe, stable home after leaving violence. Services have told us that their efforts to help children heal are hampered by the lack of stable housing available: affected children often have to move </w:t>
      </w:r>
      <w:proofErr w:type="gramStart"/>
      <w:r>
        <w:t>schools</w:t>
      </w:r>
      <w:proofErr w:type="gramEnd"/>
      <w:r>
        <w:t xml:space="preserve"> multiple times as their family is bounced between temporary accommodation, and as a result some struggle to return to school even when stable housing is eventually found. Many women and children are staying in motels with </w:t>
      </w:r>
      <w:r>
        <w:lastRenderedPageBreak/>
        <w:t xml:space="preserve">limited access to food storage and preparation facilities, reducing the likelihood that children </w:t>
      </w:r>
      <w:proofErr w:type="gramStart"/>
      <w:r>
        <w:t>are able to</w:t>
      </w:r>
      <w:proofErr w:type="gramEnd"/>
      <w:r>
        <w:t xml:space="preserve"> consume fresh, healthy food. </w:t>
      </w:r>
    </w:p>
    <w:p w14:paraId="1610D658" w14:textId="77777777" w:rsidR="000B75C6" w:rsidRDefault="000B75C6" w:rsidP="000B75C6">
      <w:r>
        <w:t>Recovery is developmental</w:t>
      </w:r>
    </w:p>
    <w:p w14:paraId="3517537A" w14:textId="105CDECB" w:rsidR="000B75C6" w:rsidRDefault="000B75C6" w:rsidP="000B75C6">
      <w:r>
        <w:t>Recovery for children does not conclude when violence stops. The impacts of violence often re-emerge as children reach new developmental stages, begin school, form relationships, leave home or become parents themselves. Recovery therefore requires support that evolves alongside children's changing developmental, emotional and social needs, rather than assuming a single episode of intervention is sufficient.</w:t>
      </w:r>
    </w:p>
    <w:p w14:paraId="67B52AB2" w14:textId="55DBB8A2" w:rsidR="000B75C6" w:rsidRDefault="000B75C6" w:rsidP="000B75C6">
      <w:r>
        <w:t>Most women accessing specialist family violence services are parenting children. Supporting parents remains essential, and children also require dedicated therapeutic, relational and developmental support. Without direct investment in children's recovery, trauma continues to affect families across generations.</w:t>
      </w:r>
    </w:p>
    <w:p w14:paraId="5CD309AD" w14:textId="6947031A" w:rsidR="000B75C6" w:rsidRDefault="000B75C6" w:rsidP="000B75C6">
      <w:r>
        <w:t>Adolescence remains a significant gap within the current system. Many young people become too old for children's therapeutic services while remaining ineligible for adult specialist services, particularly those who are homeless, unaccompanied or in contact with youth justice.</w:t>
      </w:r>
    </w:p>
    <w:p w14:paraId="27271A00" w14:textId="77777777" w:rsidR="000B75C6" w:rsidRDefault="000B75C6" w:rsidP="000B75C6">
      <w:r>
        <w:t>Design systems around children's lives</w:t>
      </w:r>
    </w:p>
    <w:p w14:paraId="221D37E9" w14:textId="77777777" w:rsidR="000B75C6" w:rsidRDefault="000B75C6" w:rsidP="000B75C6">
      <w:r>
        <w:t>Children's lives span multiple services and institutions as they grow. Each transition creates opportunities for information, relationships and trust to be lost.</w:t>
      </w:r>
    </w:p>
    <w:p w14:paraId="7311CCC3" w14:textId="644EFDFF" w:rsidR="000B75C6" w:rsidRDefault="000B75C6" w:rsidP="000B75C6">
      <w:r>
        <w:t>The challenge is designing systems that provide continuity as children develop. Education, health, community services, specialist family violence services and youth services all have a role in creating connected pathways that allow support to evolve alongside children's changing needs.</w:t>
      </w:r>
    </w:p>
    <w:p w14:paraId="0CE958DE" w14:textId="77777777" w:rsidR="000B75C6" w:rsidRDefault="000B75C6" w:rsidP="000B75C6">
      <w:r>
        <w:t>Respond early to reduce future harm</w:t>
      </w:r>
    </w:p>
    <w:p w14:paraId="5F1349AD" w14:textId="4572FBA6" w:rsidR="000B75C6" w:rsidRDefault="000B75C6" w:rsidP="000B75C6">
      <w:r>
        <w:t>Many young people who use violence or display harmful sexual behaviours have experienced violence, trauma or other adverse childhood experiences themselves. Early intervention provides an important opportunity to reduce future harm while supporting young people to take responsibility for their behaviour.</w:t>
      </w:r>
    </w:p>
    <w:p w14:paraId="139371A6" w14:textId="672CEB3D" w:rsidR="000B75C6" w:rsidRDefault="000B75C6" w:rsidP="000B75C6">
      <w:r>
        <w:t>Effective responses address the underlying drivers of behaviour while helping young people develop healthy understandings of relationships, consent, responsibility and the impacts of harm. Therapeutic, family-centred and culturally responsive approaches create stronger opportunities for accountability, sustained behaviour change and safer relationships.</w:t>
      </w:r>
    </w:p>
    <w:p w14:paraId="12F3CB6C" w14:textId="41497E7E" w:rsidR="000B75C6" w:rsidRDefault="000B75C6" w:rsidP="000B75C6">
      <w:r>
        <w:t xml:space="preserve">Australia has developed credible guidance for responding to adolescent family violence and harmful sexual behaviours. Access remains uneven, with specialist services unavailable in many parts of the country and long waiting times where services do exist. </w:t>
      </w:r>
      <w:r>
        <w:lastRenderedPageBreak/>
        <w:t>The Second Action Plan should recognise these services as essential infrastructure, supported by stable funding, clear referral pathways and workforce capability.</w:t>
      </w:r>
    </w:p>
    <w:p w14:paraId="2DCFA6BB" w14:textId="77777777" w:rsidR="000B75C6" w:rsidRDefault="000B75C6" w:rsidP="000B75C6">
      <w:r>
        <w:t>Building capability for emerging harms</w:t>
      </w:r>
    </w:p>
    <w:p w14:paraId="29759973" w14:textId="3B8680DD" w:rsidR="000B75C6" w:rsidRDefault="000B75C6" w:rsidP="000B75C6">
      <w:r>
        <w:t>Children and young people's experiences of violence increasingly extend beyond the home. Technology-facilitated abuse, image-based abuse, harmful online content and violence within peer and dating relationships are becoming increasingly common.</w:t>
      </w:r>
    </w:p>
    <w:p w14:paraId="6EBFEC01" w14:textId="320A7700" w:rsidR="000B75C6" w:rsidRDefault="000B75C6" w:rsidP="000B75C6">
      <w:r>
        <w:t>Effective responses require more than digital safety messaging. Children and young people need opportunities to build healthy understandings of relationships, consent, coercive control and respectful online behaviour. Parents, educators and practitioners also need the capability to recognise emerging forms of harm and respond confidently.</w:t>
      </w:r>
    </w:p>
    <w:p w14:paraId="53CDD53A" w14:textId="77777777" w:rsidR="000B75C6" w:rsidRDefault="000B75C6" w:rsidP="000B75C6">
      <w:r>
        <w:t>Children should help shape the systems that affect them</w:t>
      </w:r>
    </w:p>
    <w:p w14:paraId="54FCBD0E" w14:textId="5684173C" w:rsidR="000B75C6" w:rsidRDefault="000B75C6" w:rsidP="000B75C6">
      <w:r>
        <w:t>Children and young people consistently describe wanting to be heard, believed and involved in decisions that affect their lives. Their lived experience provides insights that adults alone cannot generate, strengthening policy, improving service design and creating more responsive systems.</w:t>
      </w:r>
    </w:p>
    <w:p w14:paraId="7BA92E98" w14:textId="247C49A4" w:rsidR="000B75C6" w:rsidRDefault="000B75C6" w:rsidP="000B75C6">
      <w:r>
        <w:t>Policy development, commissioning, service design, implementation and evaluation should consistently involve children and young people through developmentally appropriate, culturally safe and trauma-informed approaches. This includes supporting peer leadership and demonstrating how children's insights have shaped decisions.</w:t>
      </w:r>
    </w:p>
    <w:p w14:paraId="246D836B" w14:textId="77777777" w:rsidR="000B75C6" w:rsidRDefault="000B75C6" w:rsidP="000B75C6">
      <w:r>
        <w:t>Recommendations</w:t>
      </w:r>
    </w:p>
    <w:p w14:paraId="18575FA3" w14:textId="77777777" w:rsidR="000B75C6" w:rsidRDefault="000B75C6" w:rsidP="000B75C6">
      <w:r>
        <w:t>Recognise children and young people as victim-survivors across policy, commissioning, assessment, case planning, data systems and service design.</w:t>
      </w:r>
    </w:p>
    <w:p w14:paraId="6AFCB9CB" w14:textId="77777777" w:rsidR="000B75C6" w:rsidRDefault="000B75C6" w:rsidP="000B75C6">
      <w:r>
        <w:t>Invest in long-term, developmentally informed recovery that evolves alongside children's changing needs.</w:t>
      </w:r>
    </w:p>
    <w:p w14:paraId="7C7088D1" w14:textId="77777777" w:rsidR="000B75C6" w:rsidRDefault="000B75C6" w:rsidP="000B75C6">
      <w:r>
        <w:t>Strengthen the capability of universal services to recognise harm early, respond directly to children and connect them with specialist support.</w:t>
      </w:r>
    </w:p>
    <w:p w14:paraId="043DC5AC" w14:textId="77777777" w:rsidR="000B75C6" w:rsidRDefault="000B75C6" w:rsidP="000B75C6">
      <w:r>
        <w:t>Ensure that every young person has a safe and stable home, and access to consistent learning and schooling experiences while leaving and healing from violence.</w:t>
      </w:r>
    </w:p>
    <w:p w14:paraId="50D501D1" w14:textId="77777777" w:rsidR="000B75C6" w:rsidRDefault="000B75C6" w:rsidP="000B75C6">
      <w:r>
        <w:t>Support educators to work in trauma-informed and genuinely collaborative ways with health professionals, families, and young people themselves.</w:t>
      </w:r>
    </w:p>
    <w:p w14:paraId="6906BF08" w14:textId="77777777" w:rsidR="000B75C6" w:rsidRDefault="000B75C6" w:rsidP="000B75C6">
      <w:r>
        <w:t>Design coordinated service pathways that provide continuity as children move through different stages of development and across different systems.</w:t>
      </w:r>
    </w:p>
    <w:p w14:paraId="042D4F5E" w14:textId="61C8A249" w:rsidR="000B75C6" w:rsidRDefault="000B75C6" w:rsidP="000B75C6">
      <w:r>
        <w:lastRenderedPageBreak/>
        <w:t>Establish stable, specialist responses for adolescent family violence and harmful sexual behaviours, supported by clear referral pathways and sustained workforce development.</w:t>
      </w:r>
    </w:p>
    <w:p w14:paraId="594A69AB" w14:textId="77777777" w:rsidR="000B75C6" w:rsidRDefault="000B75C6" w:rsidP="000B75C6">
      <w:r>
        <w:t>Strengthen responses to technology-facilitated abuse, harmful online content and violence within peer and dating relationships.</w:t>
      </w:r>
    </w:p>
    <w:p w14:paraId="39F2B8F2" w14:textId="77777777" w:rsidR="000B75C6" w:rsidRDefault="000B75C6" w:rsidP="000B75C6">
      <w:r>
        <w:t>Embed meaningful participation of children and young people throughout policy development, commissioning, implementation and evaluation.</w:t>
      </w:r>
    </w:p>
    <w:p w14:paraId="3E46EF78" w14:textId="29F9EBDB" w:rsidR="000B75C6" w:rsidRPr="000B75C6" w:rsidRDefault="000B75C6" w:rsidP="000B75C6">
      <w:pPr>
        <w:rPr>
          <w:b/>
          <w:bCs/>
        </w:rPr>
      </w:pPr>
      <w:r w:rsidRPr="000B75C6">
        <w:rPr>
          <w:b/>
          <w:bCs/>
        </w:rPr>
        <w:t>Feedback for Priority Area 4: People who use violence</w:t>
      </w:r>
    </w:p>
    <w:p w14:paraId="0F1BE02A" w14:textId="73D9F591" w:rsidR="000B75C6" w:rsidRDefault="000B75C6" w:rsidP="000B75C6">
      <w:r>
        <w:t>Reducing violence requires earlier intervention, coordinated accountability and responses that support sustained behaviour change while keeping the safety of victim-survivors at the centre.</w:t>
      </w:r>
    </w:p>
    <w:p w14:paraId="555394F7" w14:textId="0BAEA0AF" w:rsidR="000B75C6" w:rsidRDefault="000B75C6" w:rsidP="000B75C6">
      <w:r>
        <w:t>Australia now has a stronger understanding of what effective responses to people using violence involve, including accountability, specialist intervention and the conditions that support sustained behaviour change. Greater attention is now needed to how these responses are implemented across different communities, cultural contexts and places, and what it takes to establish and sustain them. The opportunity for the Second Action Plan is to widen the points at which the use of violence is identified and addressed, while investing in the capability, partnerships and funding conditions that enable coordinated responses to become embedded across the communities where people live, work and seek support.</w:t>
      </w:r>
    </w:p>
    <w:p w14:paraId="0286B5CE" w14:textId="77777777" w:rsidR="000B75C6" w:rsidRDefault="000B75C6" w:rsidP="000B75C6">
      <w:r>
        <w:t>Build coordinated pathways into support</w:t>
      </w:r>
    </w:p>
    <w:p w14:paraId="6B03E0FC" w14:textId="4557075B" w:rsidR="000B75C6" w:rsidRDefault="000B75C6" w:rsidP="000B75C6">
      <w:r>
        <w:t xml:space="preserve">Opportunities to identify and address the use of violence exist beyond specialist services, often through routine interactions with universal and community-based services. Effective responses are dependent on coordinated pathways between universal and specialist services so that concerns are recognised early, accountability is reinforced, and people </w:t>
      </w:r>
      <w:proofErr w:type="gramStart"/>
      <w:r>
        <w:t>are connected with</w:t>
      </w:r>
      <w:proofErr w:type="gramEnd"/>
      <w:r>
        <w:t xml:space="preserve"> appropriate support at the right time. This requires Practitioners to have clear referral pathways, access to specialist advice and the confidence to respond safely and consistently. Without these conditions, opportunities are missed, behaviours escalate, and specialist services are left responding later, when patterns of violence are more entrenched.</w:t>
      </w:r>
    </w:p>
    <w:p w14:paraId="0EDB2132" w14:textId="77777777" w:rsidR="000B75C6" w:rsidRDefault="000B75C6" w:rsidP="000B75C6">
      <w:r>
        <w:t>Create the conditions for sustained change</w:t>
      </w:r>
    </w:p>
    <w:p w14:paraId="02674D07" w14:textId="36C20739" w:rsidR="000B75C6" w:rsidRDefault="000B75C6" w:rsidP="000B75C6">
      <w:r>
        <w:t xml:space="preserve">Progress is rarely linear, and people who use violence often require different forms of intervention as their circumstances, motivation and level of risk change. Effective responses therefore need to be flexible, personalised and sustain accountability over time while maintaining the safety, agency and wellbeing of victim-survivors. </w:t>
      </w:r>
    </w:p>
    <w:p w14:paraId="147DBB1D" w14:textId="4C9BF564" w:rsidR="000B75C6" w:rsidRDefault="000B75C6" w:rsidP="000B75C6">
      <w:r>
        <w:lastRenderedPageBreak/>
        <w:t>Current funding and commissioning arrangements work against this. Short-term funding cycles and programme-based commissioning can interrupt engagement, reduce continuity and limit services' ability to respond as needs change, despite evidence that sustained participation is critical to reducing the likelihood of further violence. Investment should support responses that recognise behaviour change as a long-term process rather than a time-limited intervention.</w:t>
      </w:r>
    </w:p>
    <w:p w14:paraId="3680002F" w14:textId="77777777" w:rsidR="000B75C6" w:rsidRDefault="000B75C6" w:rsidP="000B75C6">
      <w:r>
        <w:t>Adapt responses to community and cultural contexts</w:t>
      </w:r>
    </w:p>
    <w:p w14:paraId="2BD963B0" w14:textId="1621D572" w:rsidR="000B75C6" w:rsidRDefault="000B75C6" w:rsidP="000B75C6">
      <w:r>
        <w:t>Responses need to be adapted to the communities and cultural contexts in which they are delivered. Aboriginal Community Controlled Organisations consistently describe approaches that combine accountability with whole-family healing, cultural connection, identity and community. These approaches maintain a clear expectation of responsibility while recognising that pathways to change are strengthened when responses build on the strengths, relationships and cultural foundations of the communities they serve.</w:t>
      </w:r>
    </w:p>
    <w:p w14:paraId="10087D9C" w14:textId="2B064145" w:rsidR="000B75C6" w:rsidRDefault="000B75C6" w:rsidP="000B75C6">
      <w:r>
        <w:t>The same principle applies across Australia's diverse communities. Effective responses are strengthened when they reflect local strengths, trusted relationships and the cultural contexts in which people live, rather than expecting a single programme model to meet every community's needs.</w:t>
      </w:r>
    </w:p>
    <w:p w14:paraId="30C79354" w14:textId="77777777" w:rsidR="000B75C6" w:rsidRDefault="000B75C6" w:rsidP="000B75C6">
      <w:r>
        <w:t>Strengthen implementation capability</w:t>
      </w:r>
    </w:p>
    <w:p w14:paraId="089F4D5A" w14:textId="2A02B927" w:rsidR="000B75C6" w:rsidRDefault="000B75C6" w:rsidP="000B75C6">
      <w:r>
        <w:t>Governments should invest in implementation support alongside programme delivery, including workforce capability development, specialist support, organisational readiness, cross-sector partnerships, and continuous learning to enable services to adopt evidence-informed approaches. Building implementation capability will strengthen consistency, quality and impact across Australia's diverse service system.</w:t>
      </w:r>
    </w:p>
    <w:p w14:paraId="6267196F" w14:textId="77777777" w:rsidR="000B75C6" w:rsidRDefault="000B75C6" w:rsidP="000B75C6">
      <w:r>
        <w:t>Recommendations</w:t>
      </w:r>
    </w:p>
    <w:p w14:paraId="2847A9D1" w14:textId="77777777" w:rsidR="000B75C6" w:rsidRDefault="000B75C6" w:rsidP="000B75C6">
      <w:r>
        <w:t>Strengthen pathways that enable earlier identification, referral and access to specialist support across universal and specialist services.</w:t>
      </w:r>
    </w:p>
    <w:p w14:paraId="604A7F61" w14:textId="77777777" w:rsidR="000B75C6" w:rsidRDefault="000B75C6" w:rsidP="000B75C6">
      <w:r>
        <w:t>Invest in long-term commissioning that supports sustained accountability, continuity of engagement and behaviour change.</w:t>
      </w:r>
    </w:p>
    <w:p w14:paraId="25059EE1" w14:textId="77777777" w:rsidR="000B75C6" w:rsidRDefault="000B75C6" w:rsidP="000B75C6">
      <w:r>
        <w:t>Support community-designed and culturally responsive approaches that reflect local strengths, relationships and cultural contexts.</w:t>
      </w:r>
    </w:p>
    <w:p w14:paraId="56348FB3" w14:textId="77777777" w:rsidR="000B75C6" w:rsidRDefault="000B75C6" w:rsidP="000B75C6">
      <w:r>
        <w:t>Invest in implementation capability, workforce development and continuous learning to strengthen the consistent delivery of evidence-informed responses across Australia.</w:t>
      </w:r>
    </w:p>
    <w:p w14:paraId="0DBF8DBE" w14:textId="79612FEF" w:rsidR="000B75C6" w:rsidRPr="000B75C6" w:rsidRDefault="000B75C6" w:rsidP="000B75C6">
      <w:pPr>
        <w:rPr>
          <w:b/>
          <w:bCs/>
        </w:rPr>
      </w:pPr>
      <w:r w:rsidRPr="000B75C6">
        <w:rPr>
          <w:b/>
          <w:bCs/>
        </w:rPr>
        <w:t>Feedback for Priority Area 5: System Integration and Workforce</w:t>
      </w:r>
    </w:p>
    <w:p w14:paraId="7D1E8062" w14:textId="2078CE26" w:rsidR="000B75C6" w:rsidRDefault="000B75C6" w:rsidP="000B75C6">
      <w:r>
        <w:lastRenderedPageBreak/>
        <w:t xml:space="preserve">Achieving the ambitions of the National Plan depends on a coordinated and connected system response. This can only be achieved by investing in building the collective capability and capacity of the whole system to work together. The field increasingly recognises that individual services cannot solve the complex challenges on their own, so responses should move away from a focus on improving individual services and invest in collaboration. </w:t>
      </w:r>
    </w:p>
    <w:p w14:paraId="513F483D" w14:textId="5589580D" w:rsidR="000B75C6" w:rsidRDefault="000B75C6" w:rsidP="000B75C6">
      <w:r>
        <w:t xml:space="preserve">People working passionately and relentlessly across the system identify significant systemic barriers that hinder their efforts. Fragmentation across the system, alongside workforce pressures and limited opportunities for shared learning, all contribute as major barriers. Furthermore, specialist implementation knowledge is often dispersed across organisations and jurisdictions, creating challenges in enabling the shared learning required for collective improvement.  </w:t>
      </w:r>
    </w:p>
    <w:p w14:paraId="03C3276D" w14:textId="77777777" w:rsidR="000B75C6" w:rsidRDefault="000B75C6" w:rsidP="000B75C6">
      <w:r>
        <w:t>Grow workforce capabilities</w:t>
      </w:r>
    </w:p>
    <w:p w14:paraId="66553ECB" w14:textId="1103D92C" w:rsidR="000B75C6" w:rsidRDefault="000B75C6" w:rsidP="000B75C6">
      <w:r>
        <w:t xml:space="preserve">The FDV workforce is our most vital asset if we are to end violence in a generation, but there are significant inequities in access to capability-building. While large organisations have the economies of scale to engage their staff in consistent capability-building, those working in place-based and specialist services often have limited internal resources to invest in training programs, events and conferences, despite holding significant practice expertise. </w:t>
      </w:r>
    </w:p>
    <w:p w14:paraId="74E050B5" w14:textId="5BAF166B" w:rsidR="000B75C6" w:rsidRDefault="000B75C6" w:rsidP="000B75C6">
      <w:r>
        <w:t>Building workforce capability needs to start before practitioners enter the sector. Stronger partnerships and early-career development pathways are needed.  Practitioners also need ongoing support to strengthen their practice, including specialist advice, supervision, peer learning, and opportunities to learn alongside colleagues from other sectors, to support more coordinated responses across the system. The Second Action Plan should invest in workforce capability as a long-term reform priority.</w:t>
      </w:r>
    </w:p>
    <w:p w14:paraId="5C851A60" w14:textId="77777777" w:rsidR="000B75C6" w:rsidRDefault="000B75C6" w:rsidP="000B75C6">
      <w:r>
        <w:t>Strengthen collaboration and system learning</w:t>
      </w:r>
    </w:p>
    <w:p w14:paraId="5065D499" w14:textId="66FBF1DE" w:rsidR="000B75C6" w:rsidRDefault="000B75C6" w:rsidP="000B75C6">
      <w:r>
        <w:t xml:space="preserve">Effective implementation cannot occur without strong relationships and trust. Networks and other forms of learning communities are one way of growing new knowledge, practice and reciprocal relationships that can spark connections that can lead to place-based collaborations between services that benefit help-seekers.  </w:t>
      </w:r>
    </w:p>
    <w:p w14:paraId="6D99C307" w14:textId="77777777" w:rsidR="000B75C6" w:rsidRDefault="000B75C6" w:rsidP="000B75C6">
      <w:r>
        <w:t xml:space="preserve">Relationships and collaborations within the FDV field and across related fields such as housing, justice and health should be recognised and invested in as essential infrastructure for the workforce. Learning networks, communities of practice and collaborations need funded backbone support and resources to enable the workforce to engage, learn together, generate new insights and innovations, and work together for the benefit of those they support. </w:t>
      </w:r>
    </w:p>
    <w:p w14:paraId="69C13DBD" w14:textId="6A7ABA2C" w:rsidR="000B75C6" w:rsidRDefault="000B75C6" w:rsidP="000B75C6">
      <w:r>
        <w:lastRenderedPageBreak/>
        <w:t>By investing in collaboration and systems learning, governments can build the capability required for coordinated responses that better meet changing community needs.</w:t>
      </w:r>
    </w:p>
    <w:p w14:paraId="356A7053" w14:textId="77777777" w:rsidR="000B75C6" w:rsidRDefault="000B75C6" w:rsidP="000B75C6">
      <w:r>
        <w:t>Integration starts with communities</w:t>
      </w:r>
    </w:p>
    <w:p w14:paraId="4869433B" w14:textId="014512BD" w:rsidR="000B75C6" w:rsidRDefault="000B75C6" w:rsidP="000B75C6">
      <w:r>
        <w:t>Communities provide the context in which system integration is experienced and sustained. Place-based approaches bring services, local leadership, lived experience and community knowledge together around shared priorities, enabling organisations to build trusted relationships, coordinate responses and adapt evidence-informed approaches to local contexts.</w:t>
      </w:r>
    </w:p>
    <w:p w14:paraId="3977CA4D" w14:textId="51EC8D96" w:rsidR="000B75C6" w:rsidRDefault="000B75C6" w:rsidP="000B75C6">
      <w:r>
        <w:t>Place-based collaboration helps organisations to learn together and share responsibility for improving local outcomes. While every community has different strengths, priorities and circumstances, sustained investment in local capability and collaboration supports coordinated responses to meet the needs of their community. This requires governments to shift from commissioning individual services towards investing in community capability. Programmes, reporting requirements, and outcomes should be co-designed with communities; funding should support partnerships and collaboration; and implementation should build on local knowledge, recognised as an implementation asset that informs decisions throughout design and implementation.</w:t>
      </w:r>
    </w:p>
    <w:p w14:paraId="5332190A" w14:textId="7B00A4C8" w:rsidR="000B75C6" w:rsidRDefault="000B75C6" w:rsidP="000B75C6">
      <w:r>
        <w:t>The Second Action Plan should recognise communities as the primary context for implementation by investing in local capability, relationships, and collaborative infrastructure that enable integrated responses to take hold.</w:t>
      </w:r>
    </w:p>
    <w:p w14:paraId="43F78360" w14:textId="77777777" w:rsidR="000B75C6" w:rsidRDefault="000B75C6" w:rsidP="000B75C6">
      <w:r>
        <w:t>Design the operating environment for integration</w:t>
      </w:r>
    </w:p>
    <w:p w14:paraId="57AE065F" w14:textId="62BE8A89" w:rsidR="000B75C6" w:rsidRDefault="000B75C6" w:rsidP="000B75C6">
      <w:r>
        <w:t xml:space="preserve">Funding and commissioning arrangements influence how organisations work together. While policy increasingly calls for integrated responses, funding, accountability and decision-making often remain organised within programme, portfolio and jurisdictional silos. This creates a disconnect between how the system is funded and how people experience it. </w:t>
      </w:r>
    </w:p>
    <w:p w14:paraId="47B2E66F" w14:textId="2508259D" w:rsidR="000B75C6" w:rsidRDefault="000B75C6" w:rsidP="000B75C6">
      <w:r>
        <w:t>The implementation, collaboration and shared learning that make coordinated responses possible remain largely outside funded service delivery, dependent on goodwill rather than deliberate system design. Short-term funding cycles, fragmented reporting requirements and narrowly defined contracts make it difficult for organisations to retain expertise, invest in long-term relationships and build on previous learning. As a result, organisations repeatedly rebuild relationships, knowledge and capability that already exist elsewhere in the system.</w:t>
      </w:r>
    </w:p>
    <w:p w14:paraId="4D398D28" w14:textId="4497BDDE" w:rsidR="000B75C6" w:rsidRDefault="000B75C6" w:rsidP="000B75C6">
      <w:r>
        <w:t xml:space="preserve">The Second Action Plan should strengthen the conditions that enable capability to accumulate over time through long-term and flexible funding, proportionate reporting, </w:t>
      </w:r>
      <w:r>
        <w:lastRenderedPageBreak/>
        <w:t>funded evaluation, implementation support and commissioning approaches that recognise collaboration and learning as core functions of an effective system.</w:t>
      </w:r>
    </w:p>
    <w:p w14:paraId="33E909E1" w14:textId="77777777" w:rsidR="000B75C6" w:rsidRDefault="000B75C6" w:rsidP="000B75C6">
      <w:r>
        <w:t>Sustain promising approaches and scale what works</w:t>
      </w:r>
    </w:p>
    <w:p w14:paraId="6705F665" w14:textId="0C5BD295" w:rsidR="000B75C6" w:rsidRDefault="000B75C6" w:rsidP="000B75C6">
      <w:r>
        <w:t>Through our work, we’ve seen evidence that organisations and communities are demonstrating approaches that improve outcomes for victim-survivors every day. These approaches represent years of learning, trusted relationships and practical experience. Each promising approach represents an investment in knowledge, relationships and capability that has the potential to strengthen the whole system.</w:t>
      </w:r>
    </w:p>
    <w:p w14:paraId="7424955B" w14:textId="39AA44F1" w:rsidR="000B75C6" w:rsidRDefault="000B75C6" w:rsidP="000B75C6">
      <w:r>
        <w:t>Too often, that knowledge is lost between programmes, funding cycles and organisational change. Every investment should leave the system more capable than before. Government investment should focus on strengthening not only the delivery of individual programmes, but also the knowledge, relationships and implementation capability that enable effective approaches to continue evolving and reach more communities.</w:t>
      </w:r>
    </w:p>
    <w:p w14:paraId="41F5BB06" w14:textId="5423AED6" w:rsidR="000B75C6" w:rsidRDefault="000B75C6" w:rsidP="000B75C6">
      <w:r>
        <w:t>Promising approaches spread when organisations have the time, support and stability to learn, adapt and share what works. Long-term funding, implementation support and workforce stability create these conditions, enabling knowledge and capability to grow across the system. Each investment then becomes the foundation for the next, strengthening the system's ability to respond to changing community needs over time.</w:t>
      </w:r>
    </w:p>
    <w:p w14:paraId="3296CF7B" w14:textId="77F7270C" w:rsidR="000B75C6" w:rsidRDefault="000B75C6" w:rsidP="000B75C6">
      <w:r>
        <w:t>The Second Action Plan should invest in successful programmes and in the transfer, adaptation, and continuous improvement of promising approaches so that knowledge, capability, and relationships continue to grow across the system.</w:t>
      </w:r>
    </w:p>
    <w:p w14:paraId="5EA28017" w14:textId="77777777" w:rsidR="000B75C6" w:rsidRDefault="000B75C6" w:rsidP="000B75C6">
      <w:r>
        <w:t>Strengthen the capability of the field</w:t>
      </w:r>
    </w:p>
    <w:p w14:paraId="265AB26B" w14:textId="5FA1F95C" w:rsidR="000B75C6" w:rsidRDefault="000B75C6" w:rsidP="000B75C6">
      <w:r>
        <w:t>The legacy of the Second Action Plan should be a stronger family, domestic and sexual violence field. One that learns collectively, builds on what works, responds to emerging challenges and becomes more capable with every investment.</w:t>
      </w:r>
    </w:p>
    <w:p w14:paraId="1AC1629C" w14:textId="63E81DF4" w:rsidR="000B75C6" w:rsidRDefault="000B75C6" w:rsidP="000B75C6">
      <w:r>
        <w:t xml:space="preserve">This ambition is explored in Growing Stronger Systems of Support, our 2024 paper for the Paul Ramsay Foundation, which drew on a national learning network of 31 specialist organisations within a wider grant cohort of 58. The network described a field rich in expertise, innovation and leadership, yet one where too much of that capability remains isolated. Practice developed with one community rarely reaches another. Knowledge sharing falls as an unfunded burden; the organisations most trusted by </w:t>
      </w:r>
      <w:proofErr w:type="gramStart"/>
      <w:r>
        <w:t>particular vulnerable</w:t>
      </w:r>
      <w:proofErr w:type="gramEnd"/>
      <w:r>
        <w:t xml:space="preserve"> cohorts have the least influence over policy, commissioning and system design. As a result, every community is asked to solve many of the same challenges without the benefit of what others have already learned.</w:t>
      </w:r>
    </w:p>
    <w:p w14:paraId="369DCD41" w14:textId="5AD20A2E" w:rsidR="000B75C6" w:rsidRDefault="000B75C6" w:rsidP="000B75C6">
      <w:r>
        <w:t xml:space="preserve">The capability of the field shapes the wider system's capacity to prevent and respond to violence. What is often overlooked is the work of stewarding the field itself. </w:t>
      </w:r>
      <w:r>
        <w:lastRenderedPageBreak/>
        <w:t>Governments have an important stewardship role in creating the conditions for change. Equally important is the stewardship of change across the field through collaboration, shared governance, and adaptive leadership that serves as connective tissue. Responsibility for this work is currently diffuse, with no clear mandate, despite its importance in connecting effort, reducing duplication and ensuring that investment delivers greater public value.</w:t>
      </w:r>
    </w:p>
    <w:p w14:paraId="5ED819DB" w14:textId="77777777" w:rsidR="000B75C6" w:rsidRDefault="000B75C6" w:rsidP="000B75C6">
      <w:r>
        <w:t>Recommendations</w:t>
      </w:r>
    </w:p>
    <w:p w14:paraId="2364C39F" w14:textId="77777777" w:rsidR="000B75C6" w:rsidRDefault="000B75C6" w:rsidP="000B75C6">
      <w:r>
        <w:t>Make implementation a national reform priority. Invest in implementation capability so that every investment leaves the system more capable than before by strengthening organisations' ability to learn, adapt, and spread effective approaches.</w:t>
      </w:r>
    </w:p>
    <w:p w14:paraId="6BB1752A" w14:textId="77777777" w:rsidR="000B75C6" w:rsidRDefault="000B75C6" w:rsidP="000B75C6">
      <w:r>
        <w:t>Strengthen workforce capability by investing in equitable capability development, workforce pathways, implementation support and cross-sector learning throughout practitioners' careers.</w:t>
      </w:r>
    </w:p>
    <w:p w14:paraId="11E8B443" w14:textId="77777777" w:rsidR="000B75C6" w:rsidRDefault="000B75C6" w:rsidP="000B75C6">
      <w:r>
        <w:t>Fund collaboration as infrastructure - learning networks, communities of practice, and backbone support that enable organisations to build relationships, share knowledge, and coordinate responses.</w:t>
      </w:r>
    </w:p>
    <w:p w14:paraId="27582650" w14:textId="77777777" w:rsidR="000B75C6" w:rsidRDefault="000B75C6" w:rsidP="000B75C6">
      <w:r>
        <w:t>Recognise place-based work as a primary context for implementation by investing in community capability, local partnerships and collaborative infrastructure, and embedding co-design, local knowledge and partnership-based commissioning</w:t>
      </w:r>
    </w:p>
    <w:p w14:paraId="7BC298D6" w14:textId="77777777" w:rsidR="000B75C6" w:rsidRDefault="000B75C6" w:rsidP="000B75C6">
      <w:r>
        <w:t>Reform commissioning to create the operating conditions for integration through long-term, flexible funding, collaborative commissioning, proportionate reporting, funded evaluation and implementation support that enable organisations to work together effectively.</w:t>
      </w:r>
    </w:p>
    <w:p w14:paraId="58F19854" w14:textId="6676F8EC" w:rsidR="000B75C6" w:rsidRPr="000B75C6" w:rsidRDefault="000B75C6" w:rsidP="000B75C6">
      <w:r>
        <w:t>Invest in systems stewardship with a clear mandate and dedicated resourcing so that knowledge, innovation, and effective practice spread more rapidly across the system, accelerating progress</w:t>
      </w:r>
    </w:p>
    <w:sectPr w:rsidR="000B75C6" w:rsidRPr="000B7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5C6"/>
    <w:rsid w:val="00022A23"/>
    <w:rsid w:val="000B75C6"/>
    <w:rsid w:val="000C2502"/>
    <w:rsid w:val="0023679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C1EF"/>
  <w15:chartTrackingRefBased/>
  <w15:docId w15:val="{0D85E3DD-388F-41B3-9E12-B12BF7C3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7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7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7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7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5C6"/>
    <w:rPr>
      <w:rFonts w:eastAsiaTheme="majorEastAsia" w:cstheme="majorBidi"/>
      <w:color w:val="272727" w:themeColor="text1" w:themeTint="D8"/>
    </w:rPr>
  </w:style>
  <w:style w:type="paragraph" w:styleId="Title">
    <w:name w:val="Title"/>
    <w:basedOn w:val="Normal"/>
    <w:next w:val="Normal"/>
    <w:link w:val="TitleChar"/>
    <w:uiPriority w:val="10"/>
    <w:qFormat/>
    <w:rsid w:val="000B7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5C6"/>
    <w:pPr>
      <w:spacing w:before="160"/>
      <w:jc w:val="center"/>
    </w:pPr>
    <w:rPr>
      <w:i/>
      <w:iCs/>
      <w:color w:val="404040" w:themeColor="text1" w:themeTint="BF"/>
    </w:rPr>
  </w:style>
  <w:style w:type="character" w:customStyle="1" w:styleId="QuoteChar">
    <w:name w:val="Quote Char"/>
    <w:basedOn w:val="DefaultParagraphFont"/>
    <w:link w:val="Quote"/>
    <w:uiPriority w:val="29"/>
    <w:rsid w:val="000B75C6"/>
    <w:rPr>
      <w:i/>
      <w:iCs/>
      <w:color w:val="404040" w:themeColor="text1" w:themeTint="BF"/>
    </w:rPr>
  </w:style>
  <w:style w:type="paragraph" w:styleId="ListParagraph">
    <w:name w:val="List Paragraph"/>
    <w:basedOn w:val="Normal"/>
    <w:uiPriority w:val="34"/>
    <w:qFormat/>
    <w:rsid w:val="000B75C6"/>
    <w:pPr>
      <w:ind w:left="720"/>
      <w:contextualSpacing/>
    </w:pPr>
  </w:style>
  <w:style w:type="character" w:styleId="IntenseEmphasis">
    <w:name w:val="Intense Emphasis"/>
    <w:basedOn w:val="DefaultParagraphFont"/>
    <w:uiPriority w:val="21"/>
    <w:qFormat/>
    <w:rsid w:val="000B75C6"/>
    <w:rPr>
      <w:i/>
      <w:iCs/>
      <w:color w:val="0F4761" w:themeColor="accent1" w:themeShade="BF"/>
    </w:rPr>
  </w:style>
  <w:style w:type="paragraph" w:styleId="IntenseQuote">
    <w:name w:val="Intense Quote"/>
    <w:basedOn w:val="Normal"/>
    <w:next w:val="Normal"/>
    <w:link w:val="IntenseQuoteChar"/>
    <w:uiPriority w:val="30"/>
    <w:qFormat/>
    <w:rsid w:val="000B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75C6"/>
    <w:rPr>
      <w:i/>
      <w:iCs/>
      <w:color w:val="0F4761" w:themeColor="accent1" w:themeShade="BF"/>
    </w:rPr>
  </w:style>
  <w:style w:type="character" w:styleId="IntenseReference">
    <w:name w:val="Intense Reference"/>
    <w:basedOn w:val="DefaultParagraphFont"/>
    <w:uiPriority w:val="32"/>
    <w:qFormat/>
    <w:rsid w:val="000B75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75E33F-0C0C-4D0B-947C-93E5E72EABB8}"/>
</file>

<file path=customXml/itemProps2.xml><?xml version="1.0" encoding="utf-8"?>
<ds:datastoreItem xmlns:ds="http://schemas.openxmlformats.org/officeDocument/2006/customXml" ds:itemID="{D27A134A-17B0-4B74-AC42-98958AA1A869}"/>
</file>

<file path=customXml/itemProps3.xml><?xml version="1.0" encoding="utf-8"?>
<ds:datastoreItem xmlns:ds="http://schemas.openxmlformats.org/officeDocument/2006/customXml" ds:itemID="{DDF3F500-6A69-4ED8-8A88-8EFE1BECCE3B}"/>
</file>

<file path=docProps/app.xml><?xml version="1.0" encoding="utf-8"?>
<Properties xmlns="http://schemas.openxmlformats.org/officeDocument/2006/extended-properties" xmlns:vt="http://schemas.openxmlformats.org/officeDocument/2006/docPropsVTypes">
  <Template>Normal.dotm</Template>
  <TotalTime>3</TotalTime>
  <Pages>16</Pages>
  <Words>6101</Words>
  <Characters>34777</Characters>
  <Application>Microsoft Office Word</Application>
  <DocSecurity>0</DocSecurity>
  <Lines>289</Lines>
  <Paragraphs>81</Paragraphs>
  <ScaleCrop>false</ScaleCrop>
  <Company/>
  <LinksUpToDate>false</LinksUpToDate>
  <CharactersWithSpaces>40797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2026-09-04T06:14:00Z</dcterms:created>
  <dcterms:modified xsi:type="dcterms:W3CDTF">2026-09-04T06:17:00Z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