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CFD9" w14:textId="0D89FCB2" w:rsidR="0023679E" w:rsidRDefault="00CE4C33">
      <w:pPr>
        <w:rPr>
          <w:b/>
          <w:bCs/>
        </w:rPr>
      </w:pPr>
      <w:r w:rsidRPr="00CE4C33">
        <w:rPr>
          <w:b/>
          <w:bCs/>
        </w:rPr>
        <w:t>UNSW Sydney</w:t>
      </w:r>
    </w:p>
    <w:p w14:paraId="571F5A70" w14:textId="02356601" w:rsidR="00CE4C33" w:rsidRDefault="00CE4C33">
      <w:pPr>
        <w:rPr>
          <w:b/>
          <w:bCs/>
        </w:rPr>
      </w:pPr>
      <w:r w:rsidRPr="00CE4C33">
        <w:rPr>
          <w:b/>
          <w:bCs/>
        </w:rPr>
        <w:t>Feedback for Priority Area 1: Victim-survivors</w:t>
      </w:r>
    </w:p>
    <w:p w14:paraId="55A2BD45" w14:textId="4E7F1249" w:rsidR="00CE4C33" w:rsidRDefault="00CE4C33" w:rsidP="00CE4C33">
      <w:r>
        <w:t xml:space="preserve">The largest single determinant of a victim-survivor's safety is whether the person using violence against her stops. Interventions that measurably reduce perpetration are therefore victim-survivor safety interventions, and the Second Action Plan should treat them as such. The </w:t>
      </w:r>
      <w:proofErr w:type="spellStart"/>
      <w:r>
        <w:t>ReINVEST</w:t>
      </w:r>
      <w:proofErr w:type="spellEnd"/>
      <w:r>
        <w:t xml:space="preserve"> trial provides the strongest available Australian evidence on this point. Among men with histories of violent offending and high trait impulsivity, adjunctive sertraline treatment produced a 21% reduction in domestic violence reoffending at 24 months under intention-to-treat analysis, rising to a 64% reduction among men who completed the medication course. Partners of trial participants reported maintained or increased safety in 96% of cases, positive behavioural change in 85%, and improved personal wellbeing in 77%.</w:t>
      </w:r>
    </w:p>
    <w:p w14:paraId="4A2ADE05" w14:textId="7BED5F25" w:rsidR="00CE4C33" w:rsidRDefault="00CE4C33" w:rsidP="00CE4C33">
      <w:r>
        <w:t xml:space="preserve">Safety, wellbeing, healing and recovery are advanced when perpetrator-directed clinical treatment is coupled with direct, independent partner support. </w:t>
      </w:r>
      <w:proofErr w:type="spellStart"/>
      <w:r>
        <w:t>ReINVEST</w:t>
      </w:r>
      <w:proofErr w:type="spellEnd"/>
      <w:r>
        <w:t xml:space="preserve"> built partner safety into the intervention as a core component. A dedicated </w:t>
      </w:r>
      <w:proofErr w:type="gramStart"/>
      <w:r>
        <w:t>24 hour</w:t>
      </w:r>
      <w:proofErr w:type="gramEnd"/>
      <w:r>
        <w:t xml:space="preserve"> partner and family crisis line operated throughout the trial. Clinical staff contacted partners directly to assess safety and offer support independent of the participant's engagement, so that a partner's access to help did not depend on the man's cooperation. Continuous risk assessment occurred at every scheduled appointment, with escalation to police, specialist domestic violence services, and child protection where indicated. A Women's Advisory Group and a Victim-Survivor Group governed these protocols. This model should inform how the Second Action Plan structures perpetrator interventions, so that every dollar directed at people who use violence also funds a parallel, independent channel of support and safety planning for the people they have harmed.</w:t>
      </w:r>
    </w:p>
    <w:p w14:paraId="69944918" w14:textId="77777777" w:rsidR="00CE4C33" w:rsidRDefault="00CE4C33" w:rsidP="00CE4C33">
      <w:r>
        <w:t xml:space="preserve">Earlier access is improved when victim-survivor support attaches to the man's point of justice contact. Partners of men entering the justice system are frequently already known to services, yet the moment of arrest, charge, or court appearance is rarely used to reach them. </w:t>
      </w:r>
      <w:proofErr w:type="spellStart"/>
      <w:r>
        <w:t>ReINVEST</w:t>
      </w:r>
      <w:proofErr w:type="spellEnd"/>
      <w:r>
        <w:t>+ uses that moment. Placing a Partner and Family Safety Coordinator in every service cluster creates a proactive contact pathway at the point where risk is often most acute and where the man is, briefly, visible to the system.</w:t>
      </w:r>
    </w:p>
    <w:p w14:paraId="3B39AE01" w14:textId="5C680C78" w:rsidR="00CE4C33" w:rsidRDefault="00CE4C33" w:rsidP="00CE4C33">
      <w:r>
        <w:t>Barriers to help-seeking include institutional mistrust among both the men and their partners, particularly where prior contact with justice and welfare systems has been adverse. Delivering treatment through a university clinical setting independent of justice and welfare agencies improved engagement in the trial. This matters for victim-survivors because a man who engages is a man whose behaviour can be monitored and whose risk can be managed.</w:t>
      </w:r>
    </w:p>
    <w:p w14:paraId="4425BF38" w14:textId="1EB34584" w:rsidR="00CE4C33" w:rsidRDefault="00CE4C33" w:rsidP="00CE4C33">
      <w:r>
        <w:t xml:space="preserve">Coercive control requires precision about violence typology in both the evidence base and the intervention. Sertraline treatment targets impulsive, reactive aggression driven </w:t>
      </w:r>
      <w:r>
        <w:lastRenderedPageBreak/>
        <w:t>by affective dysregulation. The instrumental, planned patterns that characterise coercive control lie outside its scope, and the Second Action Plan should avoid conflating the two. Matching intervention to mechanism is itself a safety measure. A typology-aware system directs pharmacological and clinical treatment to men whose violence is impulsive, while ensuring coercive and controlling patterns are met with the surveillance, legal, and specialist responses they require.</w:t>
      </w:r>
    </w:p>
    <w:p w14:paraId="750E47B1" w14:textId="77777777" w:rsidR="00CE4C33" w:rsidRDefault="00CE4C33" w:rsidP="00CE4C33">
      <w:r>
        <w:t xml:space="preserve">Diverse communities are reached by this model. Approximately one-third of </w:t>
      </w:r>
      <w:proofErr w:type="spellStart"/>
      <w:r>
        <w:t>ReINVEST</w:t>
      </w:r>
      <w:proofErr w:type="spellEnd"/>
      <w:r>
        <w:t xml:space="preserve"> participants identified as Aboriginal and Torres Strait Islander, which indicates the intervention engages a population that existing services often fail to reach. Culturally safe delivery, an Aboriginal Health Worker in every cluster, and a First Nations Steering Committee governing engagement and equity thresholds are structural features that should be standard in any perpetrator intervention the Second Action Plan supports. Reducing perpetration in this cohort directly serves Aboriginal and Torres Strait Islander women and children and aligns with Closing the Gap Targets 10 and 13.</w:t>
      </w:r>
    </w:p>
    <w:p w14:paraId="3DCD83FA" w14:textId="169F97E9" w:rsidR="00CE4C33" w:rsidRPr="00CE4C33" w:rsidRDefault="00CE4C33" w:rsidP="00CE4C33">
      <w:pPr>
        <w:rPr>
          <w:b/>
          <w:bCs/>
        </w:rPr>
      </w:pPr>
      <w:r w:rsidRPr="00CE4C33">
        <w:rPr>
          <w:b/>
          <w:bCs/>
        </w:rPr>
        <w:t>Feedback for Priority Area 2: Prevention and early intervention</w:t>
      </w:r>
    </w:p>
    <w:p w14:paraId="78D0A350" w14:textId="03938AA8" w:rsidR="00CE4C33" w:rsidRDefault="00CE4C33" w:rsidP="00CE4C33">
      <w:r>
        <w:t xml:space="preserve">The 2024 Commonwealth Rapid Review of Prevention Approaches identified interventions for men who use violence as the largest evidence gap in Australia's prevention response. The Second Action Plan can close part of that gap by funding an intervention that already carries randomised controlled trial evidence. </w:t>
      </w:r>
      <w:proofErr w:type="spellStart"/>
      <w:r>
        <w:t>ReINVEST</w:t>
      </w:r>
      <w:proofErr w:type="spellEnd"/>
      <w:r>
        <w:t xml:space="preserve"> is the first randomised, double-blind, placebo-controlled trial to show that a pharmacological treatment reduces domestic violence perpetration. Prevention policy rarely has access to evidence of this standard, and the Plan should prioritise scaling what has been proven over commissioning further pilots of approaches with small and inconsistent effects.</w:t>
      </w:r>
    </w:p>
    <w:p w14:paraId="2983EA97" w14:textId="4E3B0DAC" w:rsidR="00CE4C33" w:rsidRDefault="00CE4C33" w:rsidP="00CE4C33">
      <w:r>
        <w:t>The biggest available gain lies in treating modifiable clinical drivers of impulsive aggression before they produce further offences. Affective dysregulation, including depression, psychological distress, anger, and impulsivity, is prevalent among men who use violence, is clinically modifiable, and responded to treatment in the trial. During a four-week single-blind run-in, participants showed a 55% reduction in depressive symptoms, a 44% reduction in psychological distress, a 44% reduction in aggression, and a 38% reduction in self-reported physical assault. Treating these drivers is secondary and tertiary prevention with a measurable effect on subsequent violence.</w:t>
      </w:r>
    </w:p>
    <w:p w14:paraId="44CB6DB5" w14:textId="77777777" w:rsidR="00CE4C33" w:rsidRDefault="00CE4C33" w:rsidP="00CE4C33">
      <w:r>
        <w:t xml:space="preserve">Early intervention is strengthened by acting at first justice contact, before escalation. Most men who use violence are visible to the justice system well before their most serious offending. </w:t>
      </w:r>
      <w:proofErr w:type="spellStart"/>
      <w:r>
        <w:t>ReINVEST</w:t>
      </w:r>
      <w:proofErr w:type="spellEnd"/>
      <w:r>
        <w:t xml:space="preserve"> recruited through community corrections, magistrates' courts, legal aid, and Aboriginal legal services, reaching men at the point of early or repeated contact. Building clinical assessment into these existing pathways converts routine justice touchpoints into intervention opportunities.</w:t>
      </w:r>
    </w:p>
    <w:p w14:paraId="7074247F" w14:textId="4A8853A1" w:rsidR="00CE4C33" w:rsidRDefault="00CE4C33" w:rsidP="00CE4C33">
      <w:r>
        <w:lastRenderedPageBreak/>
        <w:t xml:space="preserve">Existing prevention efforts are strengthened by adding a medical treatment pathway alongside them. Men's behaviour change programs remain the primary behaviour-change </w:t>
      </w:r>
      <w:proofErr w:type="gramStart"/>
      <w:r>
        <w:t>modality, and</w:t>
      </w:r>
      <w:proofErr w:type="gramEnd"/>
      <w:r>
        <w:t xml:space="preserve"> </w:t>
      </w:r>
      <w:proofErr w:type="spellStart"/>
      <w:r>
        <w:t>ReINVEST</w:t>
      </w:r>
      <w:proofErr w:type="spellEnd"/>
      <w:r>
        <w:t>+ operates as an adjunct to them. Men with clinically identified affective dysregulation continue in behaviour change programs while receiving treatment. The Second Action Plan should support integrated models in which clinical treatment and behaviour change run together, since the combination addresses both the psychological drivers of impulsive aggression and the attitudinal and relational patterns that behaviour change work targets.</w:t>
      </w:r>
    </w:p>
    <w:p w14:paraId="1B387839" w14:textId="6AFD20A7" w:rsidR="00CE4C33" w:rsidRDefault="00CE4C33" w:rsidP="00CE4C33">
      <w:r>
        <w:t>The most promising near-term development is precision matching of treatment to the men most likely to benefit. Subgroup findings were strongest among men with antisocial personality disorder traits, who showed a 29% reduction in domestic violence offending at 24 months, and among men with borderline personality disorder traits and moderate-to-high adherence, who showed a 43% lower offending rate relative to placebo. Building structured assessment and pharmacogenomic research into a scaled program would sharpen targeting further and identify men who require alternative approaches.</w:t>
      </w:r>
    </w:p>
    <w:p w14:paraId="5AF6BA96" w14:textId="77777777" w:rsidR="00CE4C33" w:rsidRDefault="00CE4C33" w:rsidP="00CE4C33">
      <w:r>
        <w:t>Prevention investment of this kind carries public support. Population research conducted alongside the trial found that 86% of taxpayers supported the treatment approach and 67% were willing to pay additional taxes for effective programs. The economic case reinforces this. The intervention was cost-saving from a government payer perspective, with net savings and fewer offences in 95% of probabilistic simulations.</w:t>
      </w:r>
    </w:p>
    <w:p w14:paraId="0DC4A450" w14:textId="3A63E6C4" w:rsidR="00CE4C33" w:rsidRPr="00CE4C33" w:rsidRDefault="00CE4C33" w:rsidP="00CE4C33">
      <w:pPr>
        <w:rPr>
          <w:b/>
          <w:bCs/>
        </w:rPr>
      </w:pPr>
      <w:r w:rsidRPr="00CE4C33">
        <w:rPr>
          <w:b/>
          <w:bCs/>
        </w:rPr>
        <w:t>Feedback for Priority Area 3: Children and young people in their own right</w:t>
      </w:r>
    </w:p>
    <w:p w14:paraId="3146B6BD" w14:textId="4660E1D6" w:rsidR="00CE4C33" w:rsidRDefault="00CE4C33" w:rsidP="00CE4C33">
      <w:r>
        <w:t>Children's exposure to domestic violence is a primary driver of lifelong harm and of the intergenerational transmission of violence. Reducing a father's or partner's perpetration is one of the most direct routes to reducing a child's exposure. The Second Action Plan sits alongside Safe and Supported, and the connection between perpetrator intervention and child protection should be made explicit in both. A pharmacological intervention that reduces domestic violence offending by the man is, for the children in that household, a child-safety intervention.</w:t>
      </w:r>
    </w:p>
    <w:p w14:paraId="00DD3D64" w14:textId="77777777" w:rsidR="00CE4C33" w:rsidRDefault="00CE4C33" w:rsidP="00CE4C33">
      <w:r>
        <w:t xml:space="preserve">The evidence gap the Second Action Plan should close is the absence of measured child outcomes following perpetrator treatment. </w:t>
      </w:r>
      <w:proofErr w:type="spellStart"/>
      <w:r>
        <w:t>ReINVEST</w:t>
      </w:r>
      <w:proofErr w:type="spellEnd"/>
      <w:r>
        <w:t xml:space="preserve"> measured offending and partner-reported safety. It left child-level outcomes unmeasured, because the trial lacked resourcing to link child protection and family-service data. </w:t>
      </w:r>
      <w:proofErr w:type="spellStart"/>
      <w:r>
        <w:t>ReINVEST</w:t>
      </w:r>
      <w:proofErr w:type="spellEnd"/>
      <w:r>
        <w:t xml:space="preserve">+ is designed to fill this gap. It will measure child-exposure and child-system indicators through participant-consented linkage to child protection, out-of-home care, emergency, child and family service, and educational or developmental data, analysed by sex and age where sample size permits. This would produce Australia's first measurement of partner and child outcomes following a pharmacological intervention </w:t>
      </w:r>
      <w:r>
        <w:lastRenderedPageBreak/>
        <w:t>for domestic violence perpetration. The Second Action Plan should treat trial-quality measurement of child outcomes as a core deliverable of perpetrator-intervention funding.</w:t>
      </w:r>
    </w:p>
    <w:p w14:paraId="6308E814" w14:textId="596102E2" w:rsidR="00CE4C33" w:rsidRDefault="00CE4C33" w:rsidP="00CE4C33">
      <w:r>
        <w:t xml:space="preserve">Recognising and responding to children affected by this violence requires that child-exposure assessment operate inside perpetrator services alongside child protection agencies. </w:t>
      </w:r>
      <w:proofErr w:type="spellStart"/>
      <w:r>
        <w:t>ReINVEST</w:t>
      </w:r>
      <w:proofErr w:type="spellEnd"/>
      <w:r>
        <w:t>+ places a Partner and Family Safety Coordinator in every cluster with explicit responsibility for child-exposure assessment and family-level safety planning, developed with the Australian Centre for Child Protection. All clinical staff are mandatory reporters. This embeds a child-protection lens inside a service whose primary client is the man, which is where much child exposure is otherwise invisible.</w:t>
      </w:r>
    </w:p>
    <w:p w14:paraId="3A1D7A26" w14:textId="79B89049" w:rsidR="00CE4C33" w:rsidRDefault="00CE4C33" w:rsidP="00CE4C33">
      <w:r>
        <w:t xml:space="preserve">The rising rate of Aboriginal and Torres Strait Islander children in out-of-home care makes perpetrator intervention in this cohort a child-protection priority. With approximately one-third of trial participants identifying as Aboriginal and Torres Strait Islander, a scaled program reaches families where reducing exposure carries </w:t>
      </w:r>
      <w:proofErr w:type="gramStart"/>
      <w:r>
        <w:t>particular weight</w:t>
      </w:r>
      <w:proofErr w:type="gramEnd"/>
      <w:r>
        <w:t xml:space="preserve"> for Closing the Gap Target 13. First Nations governance of child-exposure measurement, led through the program's First Nations Steering Committee, is essential to ensuring this measurement is safe and appropriate.</w:t>
      </w:r>
    </w:p>
    <w:p w14:paraId="1C7E4BD2" w14:textId="388427D9" w:rsidR="00CE4C33" w:rsidRDefault="00CE4C33" w:rsidP="00CE4C33">
      <w:r>
        <w:t xml:space="preserve">The finding that impulsive aggression is a modifiable clinical target raises a research question about earlier intervention in young people who use violence. This question requires its own evidence base and </w:t>
      </w:r>
      <w:proofErr w:type="gramStart"/>
      <w:r>
        <w:t>heightened</w:t>
      </w:r>
      <w:proofErr w:type="gramEnd"/>
      <w:r>
        <w:t xml:space="preserve"> ethical safeguards before any clinical application. Adult trial evidence does not transfer to minors. The Second Action Plan's research agenda is the appropriate place to pose the question and to fund the developmental and ethical work it demands, ahead of any move toward clinical application in young people.</w:t>
      </w:r>
    </w:p>
    <w:p w14:paraId="6813CEB4" w14:textId="77777777" w:rsidR="00CE4C33" w:rsidRDefault="00CE4C33" w:rsidP="00CE4C33">
      <w:r>
        <w:t xml:space="preserve">Children and young people should be involved in shaping the services that affect them. </w:t>
      </w:r>
      <w:proofErr w:type="spellStart"/>
      <w:r>
        <w:t>ReINVEST</w:t>
      </w:r>
      <w:proofErr w:type="spellEnd"/>
      <w:r>
        <w:t>+ operates lived-experience advisory groups whose remit covers safety protocols and evaluation framing. Extending age-appropriate lived-experience involvement to the children and young people affected by a parent's violence, governed with child-safety expertise, would strengthen the design of family-level outcome measurement.</w:t>
      </w:r>
    </w:p>
    <w:p w14:paraId="00079AF6" w14:textId="77777777" w:rsidR="00CE4C33" w:rsidRDefault="00CE4C33" w:rsidP="00CE4C33">
      <w:pPr>
        <w:rPr>
          <w:b/>
          <w:bCs/>
        </w:rPr>
      </w:pPr>
      <w:r w:rsidRPr="00CE4C33">
        <w:rPr>
          <w:b/>
          <w:bCs/>
        </w:rPr>
        <w:t>Feedback for Priority Area 4: People who use violence</w:t>
      </w:r>
    </w:p>
    <w:p w14:paraId="1E0DC59D" w14:textId="433C6BFD" w:rsidR="00CE4C33" w:rsidRDefault="00CE4C33" w:rsidP="00CE4C33">
      <w:r>
        <w:t xml:space="preserve">Australia's response to people who use violence rests largely on behaviour change programs whose evaluations report small and inconsistent effects on reoffending. The Second Action Plan should broaden the response to include clinical treatment of the modifiable drivers of impulsive violence, for which there is now randomised controlled trial evidence. </w:t>
      </w:r>
      <w:proofErr w:type="spellStart"/>
      <w:r>
        <w:t>ReINVEST</w:t>
      </w:r>
      <w:proofErr w:type="spellEnd"/>
      <w:r>
        <w:t xml:space="preserve"> is that evidence.</w:t>
      </w:r>
    </w:p>
    <w:p w14:paraId="18651866" w14:textId="57523D45" w:rsidR="00CE4C33" w:rsidRDefault="00CE4C33" w:rsidP="00CE4C33">
      <w:r>
        <w:lastRenderedPageBreak/>
        <w:t xml:space="preserve">The single most effective step available is to add a medical treatment pathway to the existing perpetrator intervention system. </w:t>
      </w:r>
      <w:proofErr w:type="spellStart"/>
      <w:r>
        <w:t>ReINVEST</w:t>
      </w:r>
      <w:proofErr w:type="spellEnd"/>
      <w:r>
        <w:t xml:space="preserve"> tested sertraline, a selective serotonin reuptake inhibitor registered by the Therapeutic Goods Administration, PBS-listed, off-patent, and among the </w:t>
      </w:r>
      <w:proofErr w:type="gramStart"/>
      <w:r>
        <w:t>most commonly prescribed</w:t>
      </w:r>
      <w:proofErr w:type="gramEnd"/>
      <w:r>
        <w:t xml:space="preserve"> antidepressants in Australia at $16.50 per 30-tablet pack. Among men with histories of violent offending and high trait impulsivity, it produced a 21% reduction in domestic violence reoffending at 24 months under intention-to-treat analysis and a 44% reduction in recurrent domestic violence offending. Among men who completed the 12-month medication course, violent offending fell by 51% and domestic violence offending by 64% within 12 months of randomisation. No serious medication-related adverse events occurred during the trial.</w:t>
      </w:r>
    </w:p>
    <w:p w14:paraId="50B135B6" w14:textId="09056500" w:rsidR="00CE4C33" w:rsidRDefault="00CE4C33" w:rsidP="00CE4C33">
      <w:r>
        <w:t>Responding earlier and more safely to men at risk of using violence means assessing them for treatable clinical drivers at the point of justice contact. Depression, psychological distress, anger, and impulsivity are prevalent in this population and are clinically modifiable. Structured clinical assessment identifies the men whose violence is driven by affective dysregulation and who are therefore candidates for treatment, while directing men whose violence is instrumental or controlling toward the responses those patterns require. Matching mechanism to intervention is both more effective and safer than a single undifferentiated program.</w:t>
      </w:r>
    </w:p>
    <w:p w14:paraId="2934D692" w14:textId="2F0057D0" w:rsidR="00CE4C33" w:rsidRDefault="00CE4C33" w:rsidP="00CE4C33">
      <w:r>
        <w:t xml:space="preserve">Accountability and behaviour change are best served by running clinical treatment together with behaviour change programs. Men's behaviour change programs address attitudes, beliefs, and relational patterns. Clinical treatment addresses the affective and impulsive drivers those programs are not designed to reach. </w:t>
      </w:r>
      <w:proofErr w:type="spellStart"/>
      <w:r>
        <w:t>ReINVEST</w:t>
      </w:r>
      <w:proofErr w:type="spellEnd"/>
      <w:r>
        <w:t>+ operates as an adjunct, with men continuing in behaviour change programs while receiving treatment. This preserves the accountability function of behaviour change work and adds a treatment effect on the biological and psychological substrate of impulsive aggression.</w:t>
      </w:r>
    </w:p>
    <w:p w14:paraId="6B1876ED" w14:textId="77777777" w:rsidR="00CE4C33" w:rsidRDefault="00CE4C33" w:rsidP="00CE4C33">
      <w:r>
        <w:t>The approach reaches men existing services miss. The trial engaged men who are not reached by existing services and delivered support addressing violence alongside trauma, substance use, and social disadvantage. Retention was supported by proven strategies, including SMS appointment reminders that improved retention 3.35-fold, assertive outreach, and flexible scheduling. A program that keeps men engaged keeps them under clinical and safety monitoring, which is itself a partner-safety benefit.</w:t>
      </w:r>
    </w:p>
    <w:p w14:paraId="5F01D160" w14:textId="3B35A3D9" w:rsidR="00CE4C33" w:rsidRDefault="00CE4C33" w:rsidP="00CE4C33">
      <w:r>
        <w:t xml:space="preserve">Culturally safe, accessible, evidence-informed responses are demonstrated in the model. Approximately one-third of participants identified as Aboriginal and Torres Strait Islander, indicating cultural acceptability. Each service cluster carries a dedicated Aboriginal Health Worker, and a First Nations Steering Committee governs engagement and sets equity thresholds. Delivery through an independent university clinical setting improved engagement among men with histories of adverse contact with justice and </w:t>
      </w:r>
      <w:r>
        <w:lastRenderedPageBreak/>
        <w:t>welfare systems. These are replicable design features that any evidence-informed perpetrator response should adopt.</w:t>
      </w:r>
    </w:p>
    <w:p w14:paraId="63840A51" w14:textId="77777777" w:rsidR="00CE4C33" w:rsidRDefault="00CE4C33" w:rsidP="00CE4C33">
      <w:r>
        <w:t>The response is cost-saving to government. The trial-based economic evaluation showed net savings of A$3,324 per participant relative to usual care and A$4,365 relative to placebo, cost-saving in 95% of probabilistic simulations. Scaling the intervention returns criminal-justice savings that exceed program cost, which frees funding for the wider service system the National Plan depends on.</w:t>
      </w:r>
    </w:p>
    <w:p w14:paraId="3DAFA65D" w14:textId="35D065F7" w:rsidR="00CE4C33" w:rsidRPr="00CE4C33" w:rsidRDefault="00CE4C33" w:rsidP="00CE4C33">
      <w:pPr>
        <w:rPr>
          <w:b/>
          <w:bCs/>
        </w:rPr>
      </w:pPr>
      <w:r w:rsidRPr="00CE4C33">
        <w:rPr>
          <w:b/>
          <w:bCs/>
        </w:rPr>
        <w:t>Feedback for Priority Area 5: System Integration and Workforce</w:t>
      </w:r>
    </w:p>
    <w:p w14:paraId="603BA5CB" w14:textId="5B8CA555" w:rsidR="00CE4C33" w:rsidRDefault="00CE4C33" w:rsidP="00CE4C33">
      <w:r>
        <w:t xml:space="preserve">A coordinated response for people affected by violence requires that justice, health, child protection, and specialist services share referral pathways, data, and safety protocols around the same individuals and families. </w:t>
      </w:r>
      <w:proofErr w:type="spellStart"/>
      <w:r>
        <w:t>ReINVEST</w:t>
      </w:r>
      <w:proofErr w:type="spellEnd"/>
      <w:r>
        <w:t>+ is built as an integration model. It connects community corrections, courts, legal aid, Aboriginal legal services, men's behaviour change providers, specialist domestic violence services, and child protection through formal co-referral protocols and information-sharing agreements. Each cluster establishes co-referral protocols with behaviour change providers, courts, and Community Corrections, so that men move between behaviour change programs and clinical assessment in both directions. The Second Action Plan should fund integration mechanisms of this kind, so services connect to the systems their clients already touch.</w:t>
      </w:r>
    </w:p>
    <w:p w14:paraId="1C372234" w14:textId="6ADB8FB7" w:rsidR="00CE4C33" w:rsidRDefault="00CE4C33" w:rsidP="00CE4C33">
      <w:r>
        <w:t xml:space="preserve">Information sharing across justice, health, and child protection is the hardest and most valuable part of system integration. </w:t>
      </w:r>
      <w:proofErr w:type="spellStart"/>
      <w:r>
        <w:t>ReINVEST</w:t>
      </w:r>
      <w:proofErr w:type="spellEnd"/>
      <w:r>
        <w:t>+ measures family and child outcomes through participant-consented linkage to justice, protection-order, victimisation, health, specialist domestic violence service, child protection, and out-of-home care data. Resolving health-to-justice data-sharing arrangements, which carry known legal and governance barriers in several jurisdictions, is scoped as a first-year establishment activity. The Second Action Plan should prioritise national work on the legal and governance frameworks that permit safe, consented linkage across these systems, since the absence of that framework is a recurring barrier to coordinated response and to measuring whether interventions work.</w:t>
      </w:r>
    </w:p>
    <w:p w14:paraId="3A392B0E" w14:textId="04253EF1" w:rsidR="00CE4C33" w:rsidRDefault="00CE4C33" w:rsidP="00CE4C33">
      <w:r>
        <w:t xml:space="preserve">Workforce capability is the binding constraint on any expansion of clinical perpetrator interventions. Forensic mental health faces critical workforce shortages. </w:t>
      </w:r>
      <w:proofErr w:type="spellStart"/>
      <w:r>
        <w:t>ReINVEST</w:t>
      </w:r>
      <w:proofErr w:type="spellEnd"/>
      <w:r>
        <w:t>+ addresses this through a training pipeline delivering placements for medical students, psychiatry registrars, forensic mental health, nursing, psychology, social work, and child and family welfare students, and three funded PhD scholarships annually. Building workforce development into service delivery, funded as part of it, is how the sector reaches the scale the National Plan envisages. The Second Action Plan should require that funded interventions include a workforce-development component.</w:t>
      </w:r>
    </w:p>
    <w:p w14:paraId="2917B82B" w14:textId="23EC66EA" w:rsidR="00CE4C33" w:rsidRDefault="00CE4C33" w:rsidP="00CE4C33">
      <w:r>
        <w:lastRenderedPageBreak/>
        <w:t xml:space="preserve">The workforce also needs the conditions to work safely. The trial recorded no incidents involving clinician safety, achieved through staff training in risk assessment and de-escalation, flexible meeting arrangements including public locations and two-staff visits when indicated, and </w:t>
      </w:r>
      <w:proofErr w:type="gramStart"/>
      <w:r>
        <w:t>24 hour</w:t>
      </w:r>
      <w:proofErr w:type="gramEnd"/>
      <w:r>
        <w:t xml:space="preserve"> peer support. These conditions should be standard across the sector.</w:t>
      </w:r>
    </w:p>
    <w:p w14:paraId="5802EDDB" w14:textId="3F34DDCC" w:rsidR="00CE4C33" w:rsidRDefault="00CE4C33" w:rsidP="00CE4C33">
      <w:r>
        <w:t xml:space="preserve">Effective integration requires layered governance that includes lived experience and First Nations authority. </w:t>
      </w:r>
      <w:proofErr w:type="spellStart"/>
      <w:r>
        <w:t>ReINVEST</w:t>
      </w:r>
      <w:proofErr w:type="spellEnd"/>
      <w:r>
        <w:t>+ operates through a Program Advisory Board, Clinical Governance Committee, Independent Data Safety Monitoring Board, First Nations Steering Committee, Women's Advisory Group, Victim-Survivor Group, and Research Ethics Committee. This structure holds clinical, cultural, and victim-survivor safety accountabilities in defined bodies with review authority. The Second Action Plan should set governance expectations of this order for interventions operating across multiple systems.</w:t>
      </w:r>
    </w:p>
    <w:p w14:paraId="6C72388B" w14:textId="77777777" w:rsidR="00CE4C33" w:rsidRDefault="00CE4C33" w:rsidP="00CE4C33">
      <w:r>
        <w:t>A cross-jurisdictional delivery model provides replication evidence the Commonwealth needs. Operating the same protocol across New South Wales, South Australia, Victoria, and Western Australia tests whether the intervention generalises across diverse service environments, which is the evidence base required before committing to national scale.</w:t>
      </w:r>
    </w:p>
    <w:p w14:paraId="39C5053F" w14:textId="68286158" w:rsidR="00CE4C33" w:rsidRPr="00CE4C33" w:rsidRDefault="00CE4C33" w:rsidP="00CE4C33">
      <w:pPr>
        <w:rPr>
          <w:b/>
          <w:bCs/>
        </w:rPr>
      </w:pPr>
      <w:r w:rsidRPr="00CE4C33">
        <w:rPr>
          <w:b/>
          <w:bCs/>
        </w:rPr>
        <w:t>Are there any other actions you think should be a priority to stop family, domestic and sexual violence?</w:t>
      </w:r>
    </w:p>
    <w:p w14:paraId="58F587BE" w14:textId="702B4DB3" w:rsidR="00CE4C33" w:rsidRDefault="00CE4C33" w:rsidP="00CE4C33">
      <w:r>
        <w:t xml:space="preserve">Australia's prevention architecture currently contains no scaled medical treatment pathway for the modifiable clinical drivers of impulsive violence. This is the gap </w:t>
      </w:r>
      <w:proofErr w:type="spellStart"/>
      <w:r>
        <w:t>ReINVEST</w:t>
      </w:r>
      <w:proofErr w:type="spellEnd"/>
      <w:r>
        <w:t xml:space="preserve"> fills, and closing it is the single action most likely to shift the perpetrator-intervention evidence base that the 2024 Rapid Review identified as Australia's largest. The Second Action Plan should establish clinical treatment of affective dysregulation as a recognised category of perpetrator intervention, funded and governed alongside behaviour change programs.</w:t>
      </w:r>
    </w:p>
    <w:p w14:paraId="5E65650E" w14:textId="77777777" w:rsidR="00CE4C33" w:rsidRDefault="00CE4C33" w:rsidP="00CE4C33">
      <w:r>
        <w:t>Three further actions follow.</w:t>
      </w:r>
    </w:p>
    <w:p w14:paraId="7D021DE5" w14:textId="4850B8F9" w:rsidR="00CE4C33" w:rsidRDefault="00CE4C33" w:rsidP="00CE4C33">
      <w:r>
        <w:t>Fund trial-quality measurement of child and partner outcomes as a standing requirement of perpetrator-intervention funding. The field cannot demonstrate benefit to victim-survivors and children without linked-data measurement, and most current programs do not measure these outcomes at all. Making measurement a funding condition would build the national evidence base the Plan depends on.</w:t>
      </w:r>
    </w:p>
    <w:p w14:paraId="584D7E7E" w14:textId="5BD5067E" w:rsidR="00CE4C33" w:rsidRDefault="00CE4C33" w:rsidP="00CE4C33">
      <w:r>
        <w:t>Invest in precision approaches that match treatment to the men most likely to benefit. Pharmacogenomic and subgroup research would refine targeting, reduce cost per offence prevented, and identify men who require alternative approaches. The trial's subgroup findings among men with antisocial and borderline personality disorder traits show that targeting is both possible and consequential.</w:t>
      </w:r>
    </w:p>
    <w:p w14:paraId="2FFA8762" w14:textId="77777777" w:rsidR="00CE4C33" w:rsidRDefault="00CE4C33" w:rsidP="00CE4C33">
      <w:r>
        <w:lastRenderedPageBreak/>
        <w:t>Draw on existing Commonwealth financing wherever possible. A significant share of the per-participant cost of a clinical perpetrator intervention already sits within Medicare and the Pharmaceutical Benefits Scheme. Psychiatric reviews are billable at Medicare Benefits Schedule fees and sertraline is PBS-listed. Settling the billing and commissioning arrangements that let these mechanisms carry part of the cost would reduce the new-money requirement of scaling clinical perpetrator interventions nationally.</w:t>
      </w:r>
    </w:p>
    <w:p w14:paraId="1B233F72" w14:textId="1666E80B" w:rsidR="00CE4C33" w:rsidRPr="00CE4C33" w:rsidRDefault="00CE4C33" w:rsidP="00CE4C33">
      <w:r>
        <w:t xml:space="preserve">The evidence, the economic case, and the delivery infrastructure exist. The action the Second Action Plan can take is to fund the scaling of what the </w:t>
      </w:r>
      <w:proofErr w:type="spellStart"/>
      <w:r>
        <w:t>ReINVEST</w:t>
      </w:r>
      <w:proofErr w:type="spellEnd"/>
      <w:r>
        <w:t xml:space="preserve"> trial has already proven.</w:t>
      </w:r>
    </w:p>
    <w:sectPr w:rsidR="00CE4C33" w:rsidRPr="00CE4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33"/>
    <w:rsid w:val="00022A23"/>
    <w:rsid w:val="0023679E"/>
    <w:rsid w:val="00CE4C33"/>
    <w:rsid w:val="00D00E88"/>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CB19A"/>
  <w15:chartTrackingRefBased/>
  <w15:docId w15:val="{20AC8A4B-E641-48B0-B9C2-885E807D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C33"/>
    <w:rPr>
      <w:rFonts w:eastAsiaTheme="majorEastAsia" w:cstheme="majorBidi"/>
      <w:color w:val="272727" w:themeColor="text1" w:themeTint="D8"/>
    </w:rPr>
  </w:style>
  <w:style w:type="paragraph" w:styleId="Title">
    <w:name w:val="Title"/>
    <w:basedOn w:val="Normal"/>
    <w:next w:val="Normal"/>
    <w:link w:val="TitleChar"/>
    <w:uiPriority w:val="10"/>
    <w:qFormat/>
    <w:rsid w:val="00CE4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C33"/>
    <w:pPr>
      <w:spacing w:before="160"/>
      <w:jc w:val="center"/>
    </w:pPr>
    <w:rPr>
      <w:i/>
      <w:iCs/>
      <w:color w:val="404040" w:themeColor="text1" w:themeTint="BF"/>
    </w:rPr>
  </w:style>
  <w:style w:type="character" w:customStyle="1" w:styleId="QuoteChar">
    <w:name w:val="Quote Char"/>
    <w:basedOn w:val="DefaultParagraphFont"/>
    <w:link w:val="Quote"/>
    <w:uiPriority w:val="29"/>
    <w:rsid w:val="00CE4C33"/>
    <w:rPr>
      <w:i/>
      <w:iCs/>
      <w:color w:val="404040" w:themeColor="text1" w:themeTint="BF"/>
    </w:rPr>
  </w:style>
  <w:style w:type="paragraph" w:styleId="ListParagraph">
    <w:name w:val="List Paragraph"/>
    <w:basedOn w:val="Normal"/>
    <w:uiPriority w:val="34"/>
    <w:qFormat/>
    <w:rsid w:val="00CE4C33"/>
    <w:pPr>
      <w:ind w:left="720"/>
      <w:contextualSpacing/>
    </w:pPr>
  </w:style>
  <w:style w:type="character" w:styleId="IntenseEmphasis">
    <w:name w:val="Intense Emphasis"/>
    <w:basedOn w:val="DefaultParagraphFont"/>
    <w:uiPriority w:val="21"/>
    <w:qFormat/>
    <w:rsid w:val="00CE4C33"/>
    <w:rPr>
      <w:i/>
      <w:iCs/>
      <w:color w:val="0F4761" w:themeColor="accent1" w:themeShade="BF"/>
    </w:rPr>
  </w:style>
  <w:style w:type="paragraph" w:styleId="IntenseQuote">
    <w:name w:val="Intense Quote"/>
    <w:basedOn w:val="Normal"/>
    <w:next w:val="Normal"/>
    <w:link w:val="IntenseQuoteChar"/>
    <w:uiPriority w:val="30"/>
    <w:qFormat/>
    <w:rsid w:val="00CE4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C33"/>
    <w:rPr>
      <w:i/>
      <w:iCs/>
      <w:color w:val="0F4761" w:themeColor="accent1" w:themeShade="BF"/>
    </w:rPr>
  </w:style>
  <w:style w:type="character" w:styleId="IntenseReference">
    <w:name w:val="Intense Reference"/>
    <w:basedOn w:val="DefaultParagraphFont"/>
    <w:uiPriority w:val="32"/>
    <w:qFormat/>
    <w:rsid w:val="00CE4C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8C69A0-223E-4AFE-B961-9381D63A04B4}"/>
</file>

<file path=customXml/itemProps2.xml><?xml version="1.0" encoding="utf-8"?>
<ds:datastoreItem xmlns:ds="http://schemas.openxmlformats.org/officeDocument/2006/customXml" ds:itemID="{7EE5FFD8-26AA-44BF-8147-060729F8DE05}"/>
</file>

<file path=customXml/itemProps3.xml><?xml version="1.0" encoding="utf-8"?>
<ds:datastoreItem xmlns:ds="http://schemas.openxmlformats.org/officeDocument/2006/customXml" ds:itemID="{08512821-9DA5-4EA1-AD58-B5168A37077B}"/>
</file>

<file path=docProps/app.xml><?xml version="1.0" encoding="utf-8"?>
<Properties xmlns="http://schemas.openxmlformats.org/officeDocument/2006/extended-properties" xmlns:vt="http://schemas.openxmlformats.org/officeDocument/2006/docPropsVTypes">
  <Template>Normal.dotm</Template>
  <TotalTime>3</TotalTime>
  <Pages>8</Pages>
  <Words>3171</Words>
  <Characters>18076</Characters>
  <Application>Microsoft Office Word</Application>
  <DocSecurity>0</DocSecurity>
  <Lines>150</Lines>
  <Paragraphs>42</Paragraphs>
  <ScaleCrop>false</ScaleCrop>
  <Company/>
  <LinksUpToDate>false</LinksUpToDate>
  <CharactersWithSpaces>21205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2026-09-04T01:17:00Z</dcterms:created>
  <dcterms:modified xsi:type="dcterms:W3CDTF">2026-09-04T01:20:00Z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