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23EE" w14:textId="5387A7B1" w:rsidR="0023679E" w:rsidRDefault="00715040">
      <w:pPr>
        <w:rPr>
          <w:b/>
          <w:bCs/>
        </w:rPr>
      </w:pPr>
      <w:r w:rsidRPr="00715040">
        <w:rPr>
          <w:b/>
          <w:bCs/>
        </w:rPr>
        <w:t>WA Family and Domestic Violence Legal Workers Network (FDVLWN), convened by Women's Legal Service WA (WLSWA)</w:t>
      </w:r>
    </w:p>
    <w:p w14:paraId="26D1A5B7" w14:textId="2537A1C1" w:rsidR="00715040" w:rsidRDefault="00715040">
      <w:pPr>
        <w:rPr>
          <w:b/>
          <w:bCs/>
        </w:rPr>
      </w:pPr>
      <w:r w:rsidRPr="00715040">
        <w:rPr>
          <w:b/>
          <w:bCs/>
        </w:rPr>
        <w:t>Feedback for Priority Area 1: Victim-survivors</w:t>
      </w:r>
    </w:p>
    <w:p w14:paraId="7D0DA13F" w14:textId="33F47BEF" w:rsidR="00715040" w:rsidRDefault="00715040" w:rsidP="00715040">
      <w:r>
        <w:t xml:space="preserve">Victim-survivors of FDSV often need to manage criminal matters as complainants, family law proceedings, Family Violence Restraining Orders, protection and care matters, migration issues, tenancy problems, debt and financial abuse, child support and employment or social security issues at the same time. Access to legal help at an early stage can interrupt escalating risk by supporting victim-survivors to address housing, protection, parenting, income, migration and financial issues before they become more difficult to resolve. As such, community legal services should be funded as a core frontline service in the response to FDSV, both for victim-survivors and people using violence. </w:t>
      </w:r>
    </w:p>
    <w:p w14:paraId="0EEFE7E0" w14:textId="77777777" w:rsidR="00715040" w:rsidRDefault="00715040" w:rsidP="00715040">
      <w:r>
        <w:t>The second action plan would benefit from more clear recognition that most matters involving FDSV involve legal and court processes. Improvements to justice systems and that access to legal supports are crucial to a frontline response. Key issues relating to this include:</w:t>
      </w:r>
    </w:p>
    <w:p w14:paraId="249F24C3" w14:textId="77777777" w:rsidR="00715040" w:rsidRDefault="00715040" w:rsidP="00715040">
      <w:r>
        <w:t>1.</w:t>
      </w:r>
      <w:r>
        <w:tab/>
        <w:t xml:space="preserve">There is an ongoing push by the justice system for matters to be resolved outside of court in a manner which is quicker and less costly. However, for legal matters where FDSV has been identified, the combination of power imbalances and use of systems and other forms of abuse mean that settling outside of court is not appropriate, safe or (in some situations) made available.  This means that victim-survivors need to seek limited and difficult to access grants of aid for legal representation in </w:t>
      </w:r>
      <w:proofErr w:type="gramStart"/>
      <w:r>
        <w:t>court, or</w:t>
      </w:r>
      <w:proofErr w:type="gramEnd"/>
      <w:r>
        <w:t xml:space="preserve"> face a choice between self-representation or an unsafe, unfair, unworkable or otherwise unacceptable outcome. </w:t>
      </w:r>
    </w:p>
    <w:p w14:paraId="08522303" w14:textId="77777777" w:rsidR="00715040" w:rsidRDefault="00715040" w:rsidP="00715040">
      <w:r>
        <w:t>2.</w:t>
      </w:r>
      <w:r>
        <w:tab/>
        <w:t>Self-represented victim-survivors are often further disadvantaged by limited access to timely duty lawyer services, lack of advocacy skills, pressure to accept inappropriate settlements, difficulty presenting their case, and the risk that applications are dismissed because procedural requirements have not been met.</w:t>
      </w:r>
    </w:p>
    <w:p w14:paraId="5215D938" w14:textId="77777777" w:rsidR="00715040" w:rsidRDefault="00715040" w:rsidP="00715040">
      <w:r>
        <w:t>3.</w:t>
      </w:r>
      <w:r>
        <w:tab/>
        <w:t>Where people who have used violence are self-represented in the Family Court or in restraining order matters, the absence of legal advice and professional guidance can increase the risk of deliberate or inadvertent systems abuse.</w:t>
      </w:r>
    </w:p>
    <w:p w14:paraId="2B3B1CDA" w14:textId="77777777" w:rsidR="00715040" w:rsidRDefault="00715040" w:rsidP="00715040">
      <w:r>
        <w:t>4.</w:t>
      </w:r>
      <w:r>
        <w:tab/>
        <w:t>Notwithstanding recent government funding to address non-payment of child support, child support issues are a common barrier to resolving issues outside of court.</w:t>
      </w:r>
    </w:p>
    <w:p w14:paraId="15CE9311" w14:textId="77777777" w:rsidR="00715040" w:rsidRDefault="00715040" w:rsidP="00715040">
      <w:r>
        <w:t>5.</w:t>
      </w:r>
      <w:r>
        <w:tab/>
        <w:t>Lack of legal assistance increases the likelihood that self-represented parties will use AI to assist with the preparation of court documents. This creates increased costs and complexity.  Some common issues include the following:</w:t>
      </w:r>
    </w:p>
    <w:p w14:paraId="30ECABAC" w14:textId="77777777" w:rsidR="00715040" w:rsidRDefault="00715040" w:rsidP="00715040">
      <w:r>
        <w:lastRenderedPageBreak/>
        <w:t>a.</w:t>
      </w:r>
      <w:r>
        <w:tab/>
        <w:t>There are unresolved privilege and confidentiality risks where AI-generated sworn statements may later be used to train or inform AI systems, potentially exposing sensitive information. The legal position remains unclear.</w:t>
      </w:r>
    </w:p>
    <w:p w14:paraId="0282BDAE" w14:textId="77777777" w:rsidR="00715040" w:rsidRDefault="00715040" w:rsidP="00715040">
      <w:r>
        <w:t>b.</w:t>
      </w:r>
      <w:r>
        <w:tab/>
        <w:t>AI content is not reliably appropriate, succinct, correct, in the correct format, or meet relevant rules of evidence;</w:t>
      </w:r>
    </w:p>
    <w:p w14:paraId="6CB367AB" w14:textId="77777777" w:rsidR="00715040" w:rsidRDefault="00715040" w:rsidP="00715040">
      <w:r>
        <w:t>c.</w:t>
      </w:r>
      <w:r>
        <w:tab/>
        <w:t>Parties are frequently creating large volumes of material for lawyers to review;</w:t>
      </w:r>
    </w:p>
    <w:p w14:paraId="399CF273" w14:textId="77777777" w:rsidR="00715040" w:rsidRDefault="00715040" w:rsidP="00715040">
      <w:r>
        <w:t>d.</w:t>
      </w:r>
      <w:r>
        <w:tab/>
        <w:t>Parties not accepting correct legal advice as it is different to AI;</w:t>
      </w:r>
    </w:p>
    <w:p w14:paraId="550E02C3" w14:textId="77777777" w:rsidR="00715040" w:rsidRDefault="00715040" w:rsidP="00715040">
      <w:r>
        <w:t>e.</w:t>
      </w:r>
      <w:r>
        <w:tab/>
        <w:t>AI being used to create or alter evidence;</w:t>
      </w:r>
    </w:p>
    <w:p w14:paraId="158CDCA4" w14:textId="77777777" w:rsidR="00715040" w:rsidRDefault="00715040" w:rsidP="00715040">
      <w:r>
        <w:t>f.</w:t>
      </w:r>
      <w:r>
        <w:tab/>
        <w:t xml:space="preserve">When evidence does not support their case Parties may claim that correct evidence is AI.  </w:t>
      </w:r>
    </w:p>
    <w:p w14:paraId="57F94556" w14:textId="77777777" w:rsidR="00715040" w:rsidRDefault="00715040" w:rsidP="00715040">
      <w:r>
        <w:t>6.</w:t>
      </w:r>
      <w:r>
        <w:tab/>
        <w:t xml:space="preserve">A lack of enforcement around recent legislative and systemic changes for financial disclosure in mediation is both a significant barrier to resolving matters, and a cause for victim-survivors to capitulate to an unfair arrangement.  Victim-survivors remain potentially likely to be required to choose between accepting less than their entitlement with no disclosure or facing self-representation in court. </w:t>
      </w:r>
    </w:p>
    <w:p w14:paraId="10E5D235" w14:textId="77777777" w:rsidR="00715040" w:rsidRDefault="00715040" w:rsidP="00715040">
      <w:r>
        <w:t>7.</w:t>
      </w:r>
      <w:r>
        <w:tab/>
        <w:t xml:space="preserve">Complexity involved in enforcing private child support collect in court.  This frequently falls on the mother to commence these proceedings. The legislation and processes are very complex and there are very few specialist child support lawyers available. </w:t>
      </w:r>
    </w:p>
    <w:p w14:paraId="5BBDE630" w14:textId="77777777" w:rsidR="00715040" w:rsidRDefault="00715040" w:rsidP="00715040">
      <w:r>
        <w:t>8.</w:t>
      </w:r>
      <w:r>
        <w:tab/>
        <w:t xml:space="preserve">The inconsistency of legislation relating to subpoenaed records is an ongoing issue that necessitates a substantial review and reform by national and state governments.  Overall, the legislative and judicial approaches to counselling records are inconsistent across types of relationship (e.g. married vs unmarried), legal matter type (e.g. criminal vs family court), status of the person (e.g. child or person under guardianship) and offence type (e.g. sexual violence vs Family and Domestic Violence).  Some people’s circumstances fall within </w:t>
      </w:r>
      <w:proofErr w:type="gramStart"/>
      <w:r>
        <w:t>particular state/territory</w:t>
      </w:r>
      <w:proofErr w:type="gramEnd"/>
      <w:r>
        <w:t xml:space="preserve"> schemes, meaning their records may be protected for one type of legal matter and not another. As noted earlier, victim-survivors of FDSV usually navigate multiple systems, making this system highly complex and confusing to navigate for clients, lawyers and service providers. Furthermore, the uncertainty around the likelihood of counselling records being subpoenaed can deter victim-survivors from seeking assistance.  This significantly impacts on the therapeutic relationship between the client and their health practitioner, and consequently their recovery from violence.</w:t>
      </w:r>
    </w:p>
    <w:p w14:paraId="1F349C5A" w14:textId="77777777" w:rsidR="00715040" w:rsidRDefault="00715040" w:rsidP="00715040">
      <w:r>
        <w:t>9.</w:t>
      </w:r>
      <w:r>
        <w:tab/>
        <w:t xml:space="preserve">Where policy discussions relate to access to justice, legal services, or navigating the justice system, there is poor recognition of the intersection of FDSV and the Protection and Care system. More prominent inclusion of Protection and Care matters </w:t>
      </w:r>
      <w:r>
        <w:lastRenderedPageBreak/>
        <w:t xml:space="preserve">in the overall justice system and legal services response are critical to preventing children being removed unnecessarily. </w:t>
      </w:r>
    </w:p>
    <w:p w14:paraId="405EE52A" w14:textId="77777777" w:rsidR="00715040" w:rsidRDefault="00715040" w:rsidP="00715040">
      <w:r>
        <w:t>10.</w:t>
      </w:r>
      <w:r>
        <w:tab/>
        <w:t xml:space="preserve">Overall lack of direction and poor response to the legal complexity and trauma where there is misidentification of the victim-survivor as the predominant aggressor, or cross-applications of restraining orders. This can be particularly traumatic and disruptive for the victim-survivor and their children impacted by the situation. </w:t>
      </w:r>
    </w:p>
    <w:p w14:paraId="138A4624" w14:textId="77777777" w:rsidR="00715040" w:rsidRDefault="00715040" w:rsidP="00715040">
      <w:r>
        <w:t>Overall, there needs to be an increased focus on making the court system safe.  This might include changes such as:</w:t>
      </w:r>
    </w:p>
    <w:p w14:paraId="3AB18A4D" w14:textId="77777777" w:rsidR="00715040" w:rsidRDefault="00715040" w:rsidP="00715040">
      <w:r>
        <w:t>•</w:t>
      </w:r>
      <w:r>
        <w:tab/>
        <w:t xml:space="preserve">Improved enforcement of recent legislative and systemic changes that increase requirements for financial disclosure in mediation.  </w:t>
      </w:r>
    </w:p>
    <w:p w14:paraId="481380CB" w14:textId="77777777" w:rsidR="00715040" w:rsidRDefault="00715040" w:rsidP="00715040">
      <w:r>
        <w:t>•</w:t>
      </w:r>
      <w:r>
        <w:tab/>
        <w:t xml:space="preserve">Increased lawyer-assisted mediation to support victim-survivors not </w:t>
      </w:r>
      <w:proofErr w:type="gramStart"/>
      <w:r>
        <w:t>entering into</w:t>
      </w:r>
      <w:proofErr w:type="gramEnd"/>
      <w:r>
        <w:t xml:space="preserve"> unsafe arrangements that can be difficult to undo.  </w:t>
      </w:r>
    </w:p>
    <w:p w14:paraId="2F40B6E7" w14:textId="77777777" w:rsidR="00715040" w:rsidRDefault="00715040" w:rsidP="00715040">
      <w:r>
        <w:t>•</w:t>
      </w:r>
      <w:r>
        <w:tab/>
        <w:t xml:space="preserve">Funding for additional specialist legal support regarding child support is needed in addition to Legal Aid.  </w:t>
      </w:r>
    </w:p>
    <w:p w14:paraId="60B57683" w14:textId="77777777" w:rsidR="00715040" w:rsidRDefault="00715040" w:rsidP="00715040">
      <w:r>
        <w:t>•</w:t>
      </w:r>
      <w:r>
        <w:tab/>
        <w:t>For WA and potentially other jurisdictions, improved ability to include children on restraining orders within the current system.</w:t>
      </w:r>
    </w:p>
    <w:p w14:paraId="2C905B14" w14:textId="77777777" w:rsidR="00715040" w:rsidRDefault="00715040" w:rsidP="00715040">
      <w:r>
        <w:t>•</w:t>
      </w:r>
      <w:r>
        <w:tab/>
        <w:t xml:space="preserve">Improved accessibility and trauma-informed practices by courts. </w:t>
      </w:r>
    </w:p>
    <w:p w14:paraId="3902DFCA" w14:textId="77777777" w:rsidR="00715040" w:rsidRDefault="00715040" w:rsidP="00715040">
      <w:r>
        <w:t>•</w:t>
      </w:r>
      <w:r>
        <w:tab/>
        <w:t xml:space="preserve">Improved funding for specialist legal services to meet the high and increasing demand to represent victim-survivors of FDSV.  Specifically, improved funding to reduce the number of self-represented parties in the FCWA. </w:t>
      </w:r>
    </w:p>
    <w:p w14:paraId="2115CF36" w14:textId="454355B1" w:rsidR="00715040" w:rsidRDefault="00715040" w:rsidP="00715040">
      <w:r>
        <w:t>•</w:t>
      </w:r>
      <w:r>
        <w:tab/>
        <w:t>Increased resourcing for joined-up service models that allow victim-survivors to receive legal, social, financial, cultural and therapeutic help in one trusted setting.</w:t>
      </w:r>
    </w:p>
    <w:p w14:paraId="5CBB159E" w14:textId="77777777" w:rsidR="00715040" w:rsidRDefault="00715040" w:rsidP="00715040">
      <w:r>
        <w:t>Services and supports work better when they are designed around the whole person and the whole legal problem, not around separate funding streams or isolated jurisdictions. A WA victim-survivor may need to engage with WA Police, the Magistrates Court for an FVRO, the Family Court of Western Australia or federal family law system, the Children’s Court in protection and care matters, tenancy systems, migration processes, Centrelink, child support, schools, health services and housing providers. These systems should not operate as if the person’s safety issue sits in only one place.</w:t>
      </w:r>
    </w:p>
    <w:p w14:paraId="103947C9" w14:textId="77777777" w:rsidR="00715040" w:rsidRDefault="00715040" w:rsidP="00715040">
      <w:r>
        <w:t xml:space="preserve">WA and other jurisdictions should continue to build integrated practice models that allow victim-survivors to receive legal, social, financial, cultural and therapeutic support through trusted entry points. Health justice partnerships are particularly important because health settings may be one of the first places where victim-survivors disclose violence or where the impacts of violence are identified. Partnerships between community legal services, hospitals, community health services, general practice, Aboriginal Community Controlled Organisations, specialist FDSV services, financial </w:t>
      </w:r>
      <w:r>
        <w:lastRenderedPageBreak/>
        <w:t>counselling services, housing services and migration services can reduce referral roundabouts and support earlier, safer action. Specifically, there are currently no First Nations led alternatives to the Family Court system in WA.</w:t>
      </w:r>
    </w:p>
    <w:p w14:paraId="0083A764" w14:textId="77777777" w:rsidR="00715040" w:rsidRDefault="00715040" w:rsidP="00715040">
      <w:r>
        <w:t>Some examples of successful partnerships include the following:</w:t>
      </w:r>
    </w:p>
    <w:p w14:paraId="55B951BD" w14:textId="77777777" w:rsidR="00715040" w:rsidRDefault="00715040" w:rsidP="00715040">
      <w:r>
        <w:t>•</w:t>
      </w:r>
      <w:r>
        <w:tab/>
        <w:t xml:space="preserve">Sexual Assault Legal Services WA is an integrated legal service run by WLSWA in collaboration with Ruah Legal Services and Aboriginal Family Legal Services for victim-survivors of sexual violence. </w:t>
      </w:r>
    </w:p>
    <w:p w14:paraId="41819228" w14:textId="77777777" w:rsidR="00715040" w:rsidRDefault="00715040" w:rsidP="00715040">
      <w:r>
        <w:t>•</w:t>
      </w:r>
      <w:r>
        <w:tab/>
        <w:t>Health Justice Partnerships run by WLSWA include embedded lawyers in three women’s health centres and soon to be one women’s hospital. Other CLCs have outreach clinics in local hospitals and clinics.</w:t>
      </w:r>
    </w:p>
    <w:p w14:paraId="22D0ED50" w14:textId="77777777" w:rsidR="00715040" w:rsidRDefault="00715040" w:rsidP="00715040">
      <w:r>
        <w:t>•</w:t>
      </w:r>
      <w:r>
        <w:tab/>
        <w:t>Many CLCs also have financial counselling available at the same service, with WLSWA hosting a specialist FDV financial counsellor.</w:t>
      </w:r>
    </w:p>
    <w:p w14:paraId="10EEF580" w14:textId="77777777" w:rsidR="00715040" w:rsidRDefault="00715040" w:rsidP="00715040">
      <w:r>
        <w:t>To work better, services need stable funding, shared risk practice, warm referrals, culturally safe pathways, interpreters, outreach, flexible service delivery and practical resources such as emergency relief. Integrated practice also requires reform of legal professional privilege and confidentiality settings so lawyers and non-legal practitioners can collaborate safely while protecting victim-survivors’ confidential information. Information sharing must reduce re-traumatisation and improve safety, not increase surveillance, misidentification or the risk that sensitive legal, therapeutic or support records are used against victim-survivors.</w:t>
      </w:r>
    </w:p>
    <w:p w14:paraId="32700536" w14:textId="2EAE3443" w:rsidR="00715040" w:rsidRPr="00715040" w:rsidRDefault="00715040" w:rsidP="00715040">
      <w:pPr>
        <w:rPr>
          <w:b/>
          <w:bCs/>
        </w:rPr>
      </w:pPr>
      <w:r w:rsidRPr="00715040">
        <w:rPr>
          <w:b/>
          <w:bCs/>
        </w:rPr>
        <w:t>Feedback for Priority Area 2: Prevention and early intervention</w:t>
      </w:r>
    </w:p>
    <w:p w14:paraId="442CD54D" w14:textId="3A4CE167" w:rsidR="00715040" w:rsidRDefault="00715040" w:rsidP="00715040">
      <w:r>
        <w:t xml:space="preserve">Community Legal Services (CLCs) in Western Australia (WA) do not typically play a significant role in prevention of Family, Domestic and Sexual Violence (FDSV) as defined within the Second Action Plan.  This is because the nature of legal services, in combination with funding streams and the justice system, frequently necessitates a tertiary, or at best an early intervention response.  </w:t>
      </w:r>
    </w:p>
    <w:p w14:paraId="06FFD081" w14:textId="77777777" w:rsidR="00715040" w:rsidRDefault="00715040" w:rsidP="00715040">
      <w:r>
        <w:t xml:space="preserve">There is significant scope for specialist FDSV legal services to play a wider role in the in the prevention of violence, particularly when early intervention is possible. Indeed, legal services are well situated for early identification, intervention and support for victim-survivors and preventing the escalation of violence.  </w:t>
      </w:r>
    </w:p>
    <w:p w14:paraId="1EEE9D10" w14:textId="77777777" w:rsidR="00715040" w:rsidRDefault="00715040" w:rsidP="00715040">
      <w:r>
        <w:t>Some opportunities for intervention include the following:</w:t>
      </w:r>
    </w:p>
    <w:p w14:paraId="430C2B21" w14:textId="77777777" w:rsidR="00715040" w:rsidRDefault="00715040" w:rsidP="00715040">
      <w:r>
        <w:t>Earlier legal interventions to prevent violence</w:t>
      </w:r>
    </w:p>
    <w:p w14:paraId="44DF734B" w14:textId="77777777" w:rsidR="00715040" w:rsidRDefault="00715040" w:rsidP="00715040">
      <w:r>
        <w:t>•</w:t>
      </w:r>
      <w:r>
        <w:tab/>
        <w:t>Working with separating couples earlier and more efficiently while including education and interventions to prevent post-separation abuse.  The purpose would be to reduce stress and financial burden on both parties, and prevent post-separation abuse, including physical, economic, psychological and financial abuse.</w:t>
      </w:r>
    </w:p>
    <w:p w14:paraId="4B56EA13" w14:textId="77777777" w:rsidR="00715040" w:rsidRDefault="00715040" w:rsidP="00715040">
      <w:r>
        <w:lastRenderedPageBreak/>
        <w:t>•</w:t>
      </w:r>
      <w:r>
        <w:tab/>
        <w:t>Providing early legal assistance to prevent violence escalating and helping victim-survivors secure safe housing, protective orders, safe parenting arrangements, income stability, migration options and financial independence before risks become entrenched.</w:t>
      </w:r>
    </w:p>
    <w:p w14:paraId="605EAEF8" w14:textId="77777777" w:rsidR="00715040" w:rsidRDefault="00715040" w:rsidP="00715040">
      <w:r>
        <w:t>•</w:t>
      </w:r>
      <w:r>
        <w:tab/>
        <w:t xml:space="preserve">Supporting and educating lawyers representing persons using violence to not collude with violence or abuse, or to inadvertently support their clients in systems abuse. </w:t>
      </w:r>
    </w:p>
    <w:p w14:paraId="2B6B58A8" w14:textId="77777777" w:rsidR="00715040" w:rsidRDefault="00715040" w:rsidP="00715040">
      <w:r>
        <w:t>Legal services industry workplace issues</w:t>
      </w:r>
    </w:p>
    <w:p w14:paraId="5034E279" w14:textId="77777777" w:rsidR="00715040" w:rsidRDefault="00715040" w:rsidP="00715040">
      <w:r>
        <w:t>•</w:t>
      </w:r>
      <w:r>
        <w:tab/>
        <w:t>Improving workplace environments across legal services which may contribute towards gendered drivers of violence. This would include better wages to encourage both genders to work in the CLC sector.</w:t>
      </w:r>
    </w:p>
    <w:p w14:paraId="17E113B3" w14:textId="77777777" w:rsidR="00715040" w:rsidRDefault="00715040" w:rsidP="00715040">
      <w:r>
        <w:t>Community legal education</w:t>
      </w:r>
    </w:p>
    <w:p w14:paraId="30BD8867" w14:textId="77777777" w:rsidR="00715040" w:rsidRDefault="00715040" w:rsidP="00715040">
      <w:r>
        <w:t>•</w:t>
      </w:r>
      <w:r>
        <w:tab/>
        <w:t>Across the community, promoting healthy and safe relationships requires long-term primary prevention work that addresses gender inequality, racism, colonisation, ableism, poverty, harmful masculinities and attitudes that minimise or excuse violence. It also requires practical early support when warning signs emerge, so people are not left to wait until violence reaches crisis point before they can access help.</w:t>
      </w:r>
    </w:p>
    <w:p w14:paraId="7226B11B" w14:textId="77777777" w:rsidR="00715040" w:rsidRDefault="00715040" w:rsidP="00715040">
      <w:r>
        <w:t>•</w:t>
      </w:r>
      <w:r>
        <w:tab/>
        <w:t>WA community legal services can contribute to this work through community legal education, partnerships with schools, health services, workplaces, multicultural organisations, Aboriginal Community Controlled Organisations, youth services, housing services and specialist FDSV services. Education should help communities recognise understand the legal options that might be available to them, as well as pathways to safety planning.</w:t>
      </w:r>
    </w:p>
    <w:p w14:paraId="1B81E12E" w14:textId="77777777" w:rsidR="00715040" w:rsidRDefault="00715040" w:rsidP="00715040">
      <w:r>
        <w:t>•</w:t>
      </w:r>
      <w:r>
        <w:tab/>
        <w:t xml:space="preserve">In WA, this work must be locally designed. Responses for Perth will not be sufficient for the Kimberley, Pilbara, Goldfields, </w:t>
      </w:r>
      <w:proofErr w:type="spellStart"/>
      <w:r>
        <w:t>Mid West</w:t>
      </w:r>
      <w:proofErr w:type="spellEnd"/>
      <w:r>
        <w:t xml:space="preserve">, Wheatbelt, Great Southern, </w:t>
      </w:r>
      <w:proofErr w:type="gramStart"/>
      <w:r>
        <w:t>South West</w:t>
      </w:r>
      <w:proofErr w:type="gramEnd"/>
      <w:r>
        <w:t xml:space="preserve"> and remote communities. Place-based approaches should reflect local service gaps, transport barriers, digital exclusion, language needs, housing shortages, court circuits, police availability, cultural safety and community leadership. Healthy relationship promotion is strongest when it is linked to accessible, trusted and practical pathways to help.</w:t>
      </w:r>
    </w:p>
    <w:p w14:paraId="38009FC5" w14:textId="07413CD2" w:rsidR="00715040" w:rsidRPr="00715040" w:rsidRDefault="00715040" w:rsidP="00715040">
      <w:pPr>
        <w:rPr>
          <w:b/>
          <w:bCs/>
        </w:rPr>
      </w:pPr>
      <w:r w:rsidRPr="00715040">
        <w:rPr>
          <w:b/>
          <w:bCs/>
        </w:rPr>
        <w:t>Feedback for Priority Area 3: Children and young people in their own right</w:t>
      </w:r>
    </w:p>
    <w:p w14:paraId="516542E8" w14:textId="60A86A3D" w:rsidR="00715040" w:rsidRDefault="00715040" w:rsidP="00715040">
      <w:r>
        <w:t xml:space="preserve">Children and young people should be better recognised in the court system as </w:t>
      </w:r>
      <w:proofErr w:type="gramStart"/>
      <w:r>
        <w:t>victim-survivors in their own right, not</w:t>
      </w:r>
      <w:proofErr w:type="gramEnd"/>
      <w:r>
        <w:t xml:space="preserve"> only as witnesses to violence. In WA, children may be affected at the same time by FVRO proceedings, criminal investigations, family law parenting disputes, protection and care involvement, school disruption, housing instability, poverty, migration insecurity and disrupted access to health or therapeutic support. Communities and services best support children when they coordinate around </w:t>
      </w:r>
      <w:r>
        <w:lastRenderedPageBreak/>
        <w:t>safety, stability and recovery rather than placing the burden on protective parents to navigate disconnected systems alone.</w:t>
      </w:r>
    </w:p>
    <w:p w14:paraId="34C49FEA" w14:textId="77777777" w:rsidR="00715040" w:rsidRDefault="00715040" w:rsidP="00715040">
      <w:r>
        <w:t>Specialist FDSV services, community legal services, health services, schools, housing services and child protection should have clear pathways to independent, trauma-informed and culturally safe legal assistance for protective parents and, where appropriate, for children and young people. This is particularly important where a parent is trying to keep children safe while also dealing with family law proceedings, protection and care concerns, FVROs, tenancy instability or migration uncertainty. Early legal help can reduce the risk that a protective parent is misidentified, blamed or punished for the violence used against them.</w:t>
      </w:r>
    </w:p>
    <w:p w14:paraId="7637A17B" w14:textId="77777777" w:rsidR="00715040" w:rsidRDefault="00715040" w:rsidP="00715040">
      <w:r>
        <w:t xml:space="preserve">Children are the focal point of a range of legal matter types: parenting matters in the family court, child support, protection and care, and others. For </w:t>
      </w:r>
      <w:proofErr w:type="gramStart"/>
      <w:r>
        <w:t>all of</w:t>
      </w:r>
      <w:proofErr w:type="gramEnd"/>
      <w:r>
        <w:t xml:space="preserve"> these types of matter, including where an Independent Children’s Lawyer has been appointed, children and young people have limited voice. Supports are frequently mandated by the court which are inappropriate, inaccessible or inadequate (e.g. requiring a child to attend family counselling with </w:t>
      </w:r>
      <w:proofErr w:type="gramStart"/>
      <w:r>
        <w:t>an</w:t>
      </w:r>
      <w:proofErr w:type="gramEnd"/>
      <w:r>
        <w:t xml:space="preserve"> parent with substantiated child sexual abuse and not allowing other types of counselling or supports). At times they are not provided at all, due to a need for both parents to agree to a particular support (e.g. a person using violence may not agree to their child attending a service at a specialist FDSV support for children). Furthermore, confidentiality is not guaranteed for the child, and feedback from a counsellor, teacher or health worker may be provided both to a protective and an abusive parent.</w:t>
      </w:r>
    </w:p>
    <w:p w14:paraId="7BD696CD" w14:textId="77777777" w:rsidR="00715040" w:rsidRDefault="00715040" w:rsidP="00715040">
      <w:r>
        <w:t>For Aboriginal children, families and communities, responses to FDSV must be self-determined and led by Aboriginal Community Controlled Organisations. Fear of child removal is a major barrier to seeking help. WA needs early, independent and culturally safe legal assistance as soon as safety concerns about a child are raised, alongside family-led, strengths-based and culturally safe supports that keep children connected to family, kin, culture and Country wherever this can be done safely.</w:t>
      </w:r>
    </w:p>
    <w:p w14:paraId="06C69CE0" w14:textId="184E98CC" w:rsidR="00715040" w:rsidRPr="00715040" w:rsidRDefault="00715040" w:rsidP="00715040">
      <w:pPr>
        <w:rPr>
          <w:b/>
          <w:bCs/>
        </w:rPr>
      </w:pPr>
      <w:r w:rsidRPr="00715040">
        <w:rPr>
          <w:b/>
          <w:bCs/>
        </w:rPr>
        <w:t>Feedback for Priority Area 4: People who use violence</w:t>
      </w:r>
    </w:p>
    <w:p w14:paraId="4F3AE4D8" w14:textId="72642404" w:rsidR="00715040" w:rsidRDefault="00715040" w:rsidP="00715040">
      <w:r>
        <w:t>Community efforts to promote healthy, safe relationships must sit alongside stronger accountability for people who use violence. To support our work as CLCs, accountability must include the ways perpetrators use legal and administrative systems to continue coercive control. This can include repeated or tactical family law applications, misuse of FVRO processes, threats connected to criminal complaints, manipulation of protection and care concerns, refusal to provide financial disclosure, non-payment of child support, migration-related threats, tenancy disruption, debt creation and intimidation through defamation or complaints processes.</w:t>
      </w:r>
    </w:p>
    <w:p w14:paraId="216A015F" w14:textId="77777777" w:rsidR="00715040" w:rsidRDefault="00715040" w:rsidP="00715040">
      <w:r>
        <w:lastRenderedPageBreak/>
        <w:t xml:space="preserve">WA courts, tribunals, agencies, workplaces, schools, services and communities need stronger capability to recognise coercive control and systems abuse. This includes training and practice standards for lawyers, police, judicial officers, registrars, child protection workers, housing providers, migration decision-makers, health workers, school staff and community organisations. </w:t>
      </w:r>
    </w:p>
    <w:p w14:paraId="7AC35740" w14:textId="77777777" w:rsidR="00715040" w:rsidRDefault="00715040" w:rsidP="00715040">
      <w:r>
        <w:t>Accountability also requires consistent consequences for breaches of FVROs, parenting orders, child support obligations, financial disclosure duties and tenancy protections, so victim-survivors are not left to enforce safety and compliance on their own.</w:t>
      </w:r>
    </w:p>
    <w:p w14:paraId="32F725DE" w14:textId="77777777" w:rsidR="00715040" w:rsidRDefault="00715040" w:rsidP="00715040">
      <w:r>
        <w:t xml:space="preserve">Community legal services should be resourced to support victim-survivors when accountability mechanisms fail or are inaccessible. In WA, this includes supporting victim-survivors in metropolitan, regional, rural and remote areas to understand their options, document patterns of coercive control, respond to systems abuse, and seek remedies across the relevant legal jurisdictions.  Complainants do not have standing in criminal proceedings, nor are CLCs funded to support a complainant in criminal matters. Consequently, this support tends to take place in conjunction with other matters such as restraining orders or family court matters.  Providing legal advice to a client in this circumstance is nuanced and requires specialist knowledge and experience that may not be available in smaller CLCs. If a victim-survivor does not have an alternative matter, they may not be able to access legal advice at all.  </w:t>
      </w:r>
    </w:p>
    <w:p w14:paraId="4E74739D" w14:textId="77777777" w:rsidR="00715040" w:rsidRDefault="00715040" w:rsidP="00715040">
      <w:r>
        <w:t xml:space="preserve">Greater investment is needed in men’s behaviour change </w:t>
      </w:r>
      <w:proofErr w:type="gramStart"/>
      <w:r>
        <w:t>programs</w:t>
      </w:r>
      <w:proofErr w:type="gramEnd"/>
      <w:r>
        <w:t xml:space="preserve"> so they are available earlier </w:t>
      </w:r>
      <w:proofErr w:type="gramStart"/>
      <w:r>
        <w:t>and in more locations</w:t>
      </w:r>
      <w:proofErr w:type="gramEnd"/>
      <w:r>
        <w:t xml:space="preserve"> (particularly regional), delivered by qualified practitioners, and grounded in evidence-based curriculum and approaches. Programs should also be designed and delivered for intersectional groups, including culturally and linguistically diverse men and FIFO workers, so that accountability work is accessible, relevant and safe across different communities and circumstances.</w:t>
      </w:r>
    </w:p>
    <w:p w14:paraId="64843030" w14:textId="77777777" w:rsidR="00715040" w:rsidRDefault="00715040" w:rsidP="00715040">
      <w:r>
        <w:t>An appropriate triage system is also needed so that men who are not subject to mandated program requirements are not left on multiple waitlists without clear prioritisation or referral pathways, and potentially missing opportunities for brief intervention. This should recognise that many MBCP participants attend because of family court instructions or expectations, rather than formal mandates, and that these referrals are often prioritised by programs themselves despite not carrying the same compulsory status.</w:t>
      </w:r>
    </w:p>
    <w:p w14:paraId="3E399FB1" w14:textId="77777777" w:rsidR="00715040" w:rsidRDefault="00715040" w:rsidP="00715040">
      <w:r>
        <w:t xml:space="preserve">The use of non-disclosure agreements (NDAs) as the current default for resolving workplace sexual harassment and sexual violence matters are frequently a significant compromise by the victim-survivor.  Victim-survivors do not always have access to independent legal advice, and can be coerced or pressured into </w:t>
      </w:r>
      <w:proofErr w:type="gramStart"/>
      <w:r>
        <w:t>a</w:t>
      </w:r>
      <w:proofErr w:type="gramEnd"/>
      <w:r>
        <w:t xml:space="preserve"> NDA in the context of financial pressure, uncertainty and health impacts of trauma. This effectively conceals </w:t>
      </w:r>
      <w:r>
        <w:lastRenderedPageBreak/>
        <w:t>further misconduct, does not support organisational or sector change, and limits information to any future complainants.  Government should strongly consider proposed reforms to the use of NDAs in this circumstance (see submission by WWCA), including: the requirement for NDAs to be used only at the request of victim-survivors with access to independent legal advice, and in the absence of pressure; permitting disclosures to certain parties, including health professionals, lawyers and other supports; time limits; and regulatory oversight.</w:t>
      </w:r>
    </w:p>
    <w:p w14:paraId="349C14C2" w14:textId="77777777" w:rsidR="00715040" w:rsidRDefault="00715040" w:rsidP="00715040">
      <w:r>
        <w:t xml:space="preserve">Overall, accountability should be practical, timely and accessible, and implemented by systems, not victim-survivors.  Accountability should not be dependent on a victim-survivor’s ability to report, document and evidence </w:t>
      </w:r>
      <w:proofErr w:type="gramStart"/>
      <w:r>
        <w:t>breaches</w:t>
      </w:r>
      <w:proofErr w:type="gramEnd"/>
      <w:r>
        <w:t xml:space="preserve"> of orders or abusive behaviour AND navigate multiple complex legal, justice and administrative systems, while simultaneously parenting, working and keeping her and her children safe.</w:t>
      </w:r>
    </w:p>
    <w:p w14:paraId="28F3165B" w14:textId="10EF2FA2" w:rsidR="00715040" w:rsidRPr="00715040" w:rsidRDefault="00715040" w:rsidP="00715040">
      <w:pPr>
        <w:rPr>
          <w:b/>
          <w:bCs/>
        </w:rPr>
      </w:pPr>
      <w:r w:rsidRPr="00715040">
        <w:rPr>
          <w:b/>
          <w:bCs/>
        </w:rPr>
        <w:t>Feedback for Priority Area 5: System Integration and Workforce</w:t>
      </w:r>
    </w:p>
    <w:p w14:paraId="43B0259D" w14:textId="62D538DB" w:rsidR="00715040" w:rsidRDefault="00715040" w:rsidP="00715040">
      <w:r>
        <w:t>Access is easier when victim-survivors can reach help through trusted places without having to know which legal category their problem fits into. In WA, this means no-wrong-door access through Community Legal Centres (CLCs), women’s legal services, Aboriginal Community Controlled Organisations, health services, schools, housing services, specialist FDSV services, multicultural services, disability services, youth services and regional outreach. Health justice partnerships and other embedded legal models are especially valuable because they bring legal help into settings where victim-survivors may already have trust.</w:t>
      </w:r>
    </w:p>
    <w:p w14:paraId="579FC97B" w14:textId="77777777" w:rsidR="00715040" w:rsidRDefault="00715040" w:rsidP="00715040">
      <w:r>
        <w:t>Access is also easier when services provide warm referrals, outreach, flexible appointments, telephone and online options, interpreters, culturally safe practice, disability access, childcare, transport assistance, emergency relief and support to complete forms or engage with courts. This is particularly important in regional, rural and remote WA, where people may have limited internet, limited transport, limited privacy, court circuit delays, fewer specialist services and heightened risks when everyone in a small community knows each other.</w:t>
      </w:r>
    </w:p>
    <w:p w14:paraId="0D4B66F5" w14:textId="77777777" w:rsidR="00715040" w:rsidRDefault="00715040" w:rsidP="00715040">
      <w:r>
        <w:t>From the perspective of CLCs that support victim-survivors of FDSV, access is easier when services are funded to stay with victim-survivors across the life of their legal and safety issues, rather than offering one-off advice only. Victim-survivors should not have to repeat their story to multiple services or self-navigate between criminal, family law, FVRO, protection and care, migration, tenancy, child support and financial abuse systems.</w:t>
      </w:r>
    </w:p>
    <w:p w14:paraId="05D43DEC" w14:textId="018BE835" w:rsidR="00715040" w:rsidRPr="00715040" w:rsidRDefault="00715040" w:rsidP="00715040">
      <w:pPr>
        <w:rPr>
          <w:b/>
          <w:bCs/>
        </w:rPr>
      </w:pPr>
      <w:r w:rsidRPr="00715040">
        <w:rPr>
          <w:b/>
          <w:bCs/>
        </w:rPr>
        <w:t>Are there any other actions you think should be a priority to stop family, domestic and sexual violence?</w:t>
      </w:r>
    </w:p>
    <w:p w14:paraId="28015E88" w14:textId="20B97543" w:rsidR="00715040" w:rsidRDefault="00715040" w:rsidP="00715040">
      <w:r>
        <w:lastRenderedPageBreak/>
        <w:t>From the perspective of CLCs that support victim-survivors of FDSV, the biggest difference for recovery and healing would be ensuring victim-survivors and their children can achieve safety, stability and justice without having to manage multiple legal systems alone. Healing is undermined when a victim-survivor is still unsafe, homeless, financially controlled, at risk of visa cancellation, defending repeated litigation, trying to enforce child support, responding to protection and care concerns, or repeatedly retelling traumatic experiences to different services.</w:t>
      </w:r>
    </w:p>
    <w:p w14:paraId="579461FE" w14:textId="77777777" w:rsidR="00715040" w:rsidRDefault="00715040" w:rsidP="00715040">
      <w:r>
        <w:t>Recovery requires access to integrated legal and non-legal support for as long as the legal and safety issues continue. In WA, this means stable funding for community legal services, specialist FDSV services, Aboriginal-led services, sexual assault legal services, tenancy and housing support, migration advice, financial counselling, therapeutic support and health justice partnerships. These supports should work together so that legal outcomes support healing rather than creating further trauma.</w:t>
      </w:r>
    </w:p>
    <w:p w14:paraId="13C4F7BC" w14:textId="3CE18D3F" w:rsidR="00715040" w:rsidRPr="00715040" w:rsidRDefault="00715040" w:rsidP="00715040">
      <w:r>
        <w:t>For families affected by FDSV, recovery also depends on practical resources: safe housing, income, access to healthcare, access to education and childcare, interpreters, culturally safe support, transport, technology, emergency relief and legal representation. The Second Action Plan should recognise that legal problems can continue for years after separation or disclosure. Long-term, trauma-informed and culturally safe legal support is therefore essential to recovery, not an optional add-on.</w:t>
      </w:r>
    </w:p>
    <w:sectPr w:rsidR="00715040" w:rsidRPr="007150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040"/>
    <w:rsid w:val="00022A23"/>
    <w:rsid w:val="00207035"/>
    <w:rsid w:val="0023679E"/>
    <w:rsid w:val="00715040"/>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B3CA"/>
  <w15:chartTrackingRefBased/>
  <w15:docId w15:val="{96BFA7BF-77FE-4F5F-B420-9A298972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040"/>
    <w:rPr>
      <w:rFonts w:eastAsiaTheme="majorEastAsia" w:cstheme="majorBidi"/>
      <w:color w:val="272727" w:themeColor="text1" w:themeTint="D8"/>
    </w:rPr>
  </w:style>
  <w:style w:type="paragraph" w:styleId="Title">
    <w:name w:val="Title"/>
    <w:basedOn w:val="Normal"/>
    <w:next w:val="Normal"/>
    <w:link w:val="TitleChar"/>
    <w:uiPriority w:val="10"/>
    <w:qFormat/>
    <w:rsid w:val="00715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040"/>
    <w:pPr>
      <w:spacing w:before="160"/>
      <w:jc w:val="center"/>
    </w:pPr>
    <w:rPr>
      <w:i/>
      <w:iCs/>
      <w:color w:val="404040" w:themeColor="text1" w:themeTint="BF"/>
    </w:rPr>
  </w:style>
  <w:style w:type="character" w:customStyle="1" w:styleId="QuoteChar">
    <w:name w:val="Quote Char"/>
    <w:basedOn w:val="DefaultParagraphFont"/>
    <w:link w:val="Quote"/>
    <w:uiPriority w:val="29"/>
    <w:rsid w:val="00715040"/>
    <w:rPr>
      <w:i/>
      <w:iCs/>
      <w:color w:val="404040" w:themeColor="text1" w:themeTint="BF"/>
    </w:rPr>
  </w:style>
  <w:style w:type="paragraph" w:styleId="ListParagraph">
    <w:name w:val="List Paragraph"/>
    <w:basedOn w:val="Normal"/>
    <w:uiPriority w:val="34"/>
    <w:qFormat/>
    <w:rsid w:val="00715040"/>
    <w:pPr>
      <w:ind w:left="720"/>
      <w:contextualSpacing/>
    </w:pPr>
  </w:style>
  <w:style w:type="character" w:styleId="IntenseEmphasis">
    <w:name w:val="Intense Emphasis"/>
    <w:basedOn w:val="DefaultParagraphFont"/>
    <w:uiPriority w:val="21"/>
    <w:qFormat/>
    <w:rsid w:val="00715040"/>
    <w:rPr>
      <w:i/>
      <w:iCs/>
      <w:color w:val="0F4761" w:themeColor="accent1" w:themeShade="BF"/>
    </w:rPr>
  </w:style>
  <w:style w:type="paragraph" w:styleId="IntenseQuote">
    <w:name w:val="Intense Quote"/>
    <w:basedOn w:val="Normal"/>
    <w:next w:val="Normal"/>
    <w:link w:val="IntenseQuoteChar"/>
    <w:uiPriority w:val="30"/>
    <w:qFormat/>
    <w:rsid w:val="00715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040"/>
    <w:rPr>
      <w:i/>
      <w:iCs/>
      <w:color w:val="0F4761" w:themeColor="accent1" w:themeShade="BF"/>
    </w:rPr>
  </w:style>
  <w:style w:type="character" w:styleId="IntenseReference">
    <w:name w:val="Intense Reference"/>
    <w:basedOn w:val="DefaultParagraphFont"/>
    <w:uiPriority w:val="32"/>
    <w:qFormat/>
    <w:rsid w:val="007150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63F520-EB58-4E06-817D-4FE51B2202BF}"/>
</file>

<file path=customXml/itemProps2.xml><?xml version="1.0" encoding="utf-8"?>
<ds:datastoreItem xmlns:ds="http://schemas.openxmlformats.org/officeDocument/2006/customXml" ds:itemID="{CE0279F7-04A2-48B1-8C9A-D7F0418FD770}"/>
</file>

<file path=customXml/itemProps3.xml><?xml version="1.0" encoding="utf-8"?>
<ds:datastoreItem xmlns:ds="http://schemas.openxmlformats.org/officeDocument/2006/customXml" ds:itemID="{B0CB2881-1B0F-4B9E-8734-644D700FE1AC}"/>
</file>

<file path=docProps/app.xml><?xml version="1.0" encoding="utf-8"?>
<Properties xmlns="http://schemas.openxmlformats.org/officeDocument/2006/extended-properties" xmlns:vt="http://schemas.openxmlformats.org/officeDocument/2006/docPropsVTypes">
  <Template>Normal.dotm</Template>
  <TotalTime>2</TotalTime>
  <Pages>9</Pages>
  <Words>3535</Words>
  <Characters>20153</Characters>
  <Application>Microsoft Office Word</Application>
  <DocSecurity>0</DocSecurity>
  <Lines>167</Lines>
  <Paragraphs>47</Paragraphs>
  <ScaleCrop>false</ScaleCrop>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2026-09-07T05:22:00Z</dcterms:created>
  <dcterms:modified xsi:type="dcterms:W3CDTF">2026-09-07T05:24:00Z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