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D574F" w14:textId="77777777" w:rsidR="00093B5F" w:rsidRDefault="00093B5F" w:rsidP="00093B5F">
      <w:pPr>
        <w:pStyle w:val="Title"/>
      </w:pPr>
      <w:r>
        <w:t xml:space="preserve">Second </w:t>
      </w:r>
      <w:r w:rsidRPr="00873314">
        <w:t>National Plan to End Violence against Women and Children</w:t>
      </w:r>
      <w:r>
        <w:t xml:space="preserve">. </w:t>
      </w:r>
    </w:p>
    <w:p w14:paraId="7F8B3D99" w14:textId="77777777" w:rsidR="00093B5F" w:rsidRDefault="00093B5F" w:rsidP="00093B5F">
      <w:pPr>
        <w:pStyle w:val="Title"/>
      </w:pPr>
    </w:p>
    <w:p w14:paraId="1BC716DD" w14:textId="77777777" w:rsidR="00093B5F" w:rsidRPr="009F51A9" w:rsidRDefault="00093B5F" w:rsidP="00093B5F">
      <w:pPr>
        <w:pStyle w:val="Title"/>
        <w:rPr>
          <w:sz w:val="40"/>
          <w:szCs w:val="40"/>
        </w:rPr>
      </w:pPr>
      <w:r w:rsidRPr="009F51A9">
        <w:rPr>
          <w:sz w:val="40"/>
          <w:szCs w:val="40"/>
        </w:rPr>
        <w:t>Submitted by: Warringu Aboriginal and Torres Strait Islander Corporation and Remote Network</w:t>
      </w:r>
    </w:p>
    <w:p w14:paraId="3FC4CE90" w14:textId="77777777" w:rsidR="00093B5F" w:rsidRDefault="00093B5F" w:rsidP="00093B5F"/>
    <w:p w14:paraId="7C353F94" w14:textId="77777777" w:rsidR="00093B5F" w:rsidRPr="007738D7" w:rsidRDefault="00093B5F" w:rsidP="00093B5F">
      <w:pPr>
        <w:rPr>
          <w:b/>
          <w:bCs/>
        </w:rPr>
      </w:pPr>
      <w:r>
        <w:t>This submission draws on evidence gathered through eight community consultation visits across Far North Queensland. These visits were undertaken as part of Warringu’s work focused on building capacity across the remote Indigenous women’s shelter network and strengthening responses to sexual violence. Consultations included yarning sessions, staff activities, stakeholder discussions, prototype reviews, sexual violence conversations and follow-up reflections with shelters and local services</w:t>
      </w:r>
    </w:p>
    <w:p w14:paraId="21D505BB" w14:textId="77777777" w:rsidR="00093B5F" w:rsidRDefault="00093B5F" w:rsidP="00093B5F">
      <w:r w:rsidRPr="00767533">
        <w:t>This submission reinforces ANROWS evidence that Aboriginal and Torres Strait Islander women and children experiencing violence are often failed by systems due to low trust in police and services, fear of child protection involvement, poor recognition of coercive control, and culturally inappropriate responses, all of which can deter help-seeking and reduce access to protection. Community consultations also highlighted the need to address the underlying drivers of violence, including harmful gender norms and the growing influence of online misogynistic and hate-based ideologies. Together, the findings emphasise the importance of culturally safe, community-led, trauma-informed responses that address intersecting forms of discrimination and strengthen prevention, early intervention and justice outcomes</w:t>
      </w:r>
      <w:r>
        <w:t>.</w:t>
      </w:r>
    </w:p>
    <w:p w14:paraId="04499F3E" w14:textId="77777777" w:rsidR="00093B5F" w:rsidRDefault="00093B5F" w:rsidP="00093B5F"/>
    <w:p w14:paraId="176ECBDE" w14:textId="77777777" w:rsidR="00093B5F" w:rsidRDefault="00093B5F" w:rsidP="00093B5F">
      <w:pPr>
        <w:rPr>
          <w:b/>
          <w:bCs/>
        </w:rPr>
      </w:pPr>
      <w:r w:rsidRPr="007738D7">
        <w:rPr>
          <w:b/>
          <w:bCs/>
        </w:rPr>
        <w:t>Priority actions</w:t>
      </w:r>
      <w:r>
        <w:rPr>
          <w:b/>
          <w:bCs/>
        </w:rPr>
        <w:t xml:space="preserve"> </w:t>
      </w:r>
    </w:p>
    <w:p w14:paraId="108FBBEC" w14:textId="77777777" w:rsidR="00093B5F" w:rsidRPr="009563E4" w:rsidRDefault="00093B5F" w:rsidP="00093B5F">
      <w:r w:rsidRPr="009563E4">
        <w:t>1. Increase access to safe, culturally appropriate housing and accommodation</w:t>
      </w:r>
    </w:p>
    <w:p w14:paraId="75291004" w14:textId="77777777" w:rsidR="00093B5F" w:rsidRPr="009563E4" w:rsidRDefault="00093B5F" w:rsidP="00093B5F">
      <w:r w:rsidRPr="009563E4">
        <w:t>2. Improve early access to trusted and culturally safe support services</w:t>
      </w:r>
      <w:r>
        <w:t xml:space="preserve"> such as helplines with trained First Nations workers and counsellors; imbedded DFSV specialist counsellor in regional and remote health care centres e.g. ACCHO’s; drop centres within Shelters to provide support</w:t>
      </w:r>
    </w:p>
    <w:p w14:paraId="43586E00" w14:textId="77777777" w:rsidR="00093B5F" w:rsidRPr="009563E4" w:rsidRDefault="00093B5F" w:rsidP="00093B5F">
      <w:r w:rsidRPr="009563E4">
        <w:t>3. Strengthen culturally led prevention, response, recovery and healing services</w:t>
      </w:r>
      <w:r>
        <w:t xml:space="preserve"> such as programs that work with young women with healthy relationships and leadership programs; programs for young parents to (re-)engage in employment and educations</w:t>
      </w:r>
    </w:p>
    <w:p w14:paraId="3280DC47" w14:textId="77777777" w:rsidR="00093B5F" w:rsidRPr="009563E4" w:rsidRDefault="00093B5F" w:rsidP="00093B5F">
      <w:r w:rsidRPr="009563E4">
        <w:lastRenderedPageBreak/>
        <w:t>4. Expand specialist responses to sexual violence, coercive control and trauma</w:t>
      </w:r>
      <w:r>
        <w:t xml:space="preserve"> e.g. Health initiative to fly Sexual Assault Nurse Examiners into regional and remote communities.</w:t>
      </w:r>
    </w:p>
    <w:p w14:paraId="148F6750" w14:textId="77777777" w:rsidR="00093B5F" w:rsidRPr="009563E4" w:rsidRDefault="00093B5F" w:rsidP="00093B5F">
      <w:r w:rsidRPr="009563E4">
        <w:t>5. Strengthen long-term recovery and healing outcomes for victim-survivors</w:t>
      </w:r>
      <w:r>
        <w:t xml:space="preserve"> e.g. Conduct research with women’s shelters to understand the healing journey for victims survivors to determine which interventions produce long term sustainable outcomes. </w:t>
      </w:r>
    </w:p>
    <w:p w14:paraId="5C7B2188" w14:textId="77777777" w:rsidR="00093B5F" w:rsidRDefault="00093B5F" w:rsidP="00093B5F">
      <w:r w:rsidRPr="009563E4">
        <w:t>6. Deliver coordinated, integrated support across the life course</w:t>
      </w:r>
      <w:r>
        <w:t xml:space="preserve"> for example develop healing models within shelters that focus on interventions for different cohorts - women’s shelters; men’s shelters; mother and baby and families</w:t>
      </w:r>
    </w:p>
    <w:p w14:paraId="7AC24475" w14:textId="77777777" w:rsidR="00093B5F" w:rsidRPr="00DC6C98" w:rsidRDefault="00093B5F" w:rsidP="00093B5F">
      <w:r>
        <w:t>7</w:t>
      </w:r>
      <w:r w:rsidRPr="00DC6C98">
        <w:t xml:space="preserve">. Strengthen integrated service </w:t>
      </w:r>
      <w:r>
        <w:t>support to build small ACCO’s through shared services for back of office functions, human resources, training of staff and financial operations.</w:t>
      </w:r>
    </w:p>
    <w:p w14:paraId="09C9257B" w14:textId="77777777" w:rsidR="00093B5F" w:rsidRDefault="00093B5F" w:rsidP="00093B5F">
      <w:r>
        <w:t>8</w:t>
      </w:r>
      <w:r w:rsidRPr="00DC6C98">
        <w:t xml:space="preserve">. </w:t>
      </w:r>
      <w:r>
        <w:t>Support the development of purpose-built data and client management systems</w:t>
      </w:r>
    </w:p>
    <w:p w14:paraId="04AFA598" w14:textId="77777777" w:rsidR="00093B5F" w:rsidRDefault="00093B5F" w:rsidP="00093B5F">
      <w:r>
        <w:t xml:space="preserve">9. </w:t>
      </w:r>
      <w:r w:rsidRPr="00EC53C5">
        <w:t>Develop place-based, Aboriginal and Torres Strait Islander-led responses</w:t>
      </w:r>
      <w:r>
        <w:t xml:space="preserve"> to safeguard women who are more at risk of coercive control tactics like digital, financial and technology abuse i.e. having to share bank cards; phone credit and social media </w:t>
      </w:r>
    </w:p>
    <w:p w14:paraId="61707DC0" w14:textId="77777777" w:rsidR="00093B5F" w:rsidRDefault="00093B5F" w:rsidP="00093B5F">
      <w:r>
        <w:t xml:space="preserve">10. </w:t>
      </w:r>
      <w:r w:rsidRPr="000A4F86">
        <w:t>Expand responses for young people</w:t>
      </w:r>
      <w:r>
        <w:t xml:space="preserve"> such as child specific workers in women’s shelters</w:t>
      </w:r>
    </w:p>
    <w:p w14:paraId="33951E2B" w14:textId="77777777" w:rsidR="00093B5F" w:rsidRDefault="00093B5F" w:rsidP="00093B5F">
      <w:r>
        <w:t xml:space="preserve">11. Develop targeted responses First Nations workers in the sector who require additional specialised support due to experiencing DFSV themselves or supporting extended family members </w:t>
      </w:r>
    </w:p>
    <w:p w14:paraId="7AB33547" w14:textId="77777777" w:rsidR="00093B5F" w:rsidRPr="00DC6C98" w:rsidRDefault="00093B5F" w:rsidP="00093B5F">
      <w:r>
        <w:t xml:space="preserve">12. Provide funding to agencies who can pay for men to be accommodated in short term accommodation (such as a hotel) where men leaving the home is the best option. </w:t>
      </w:r>
    </w:p>
    <w:p w14:paraId="300B0B60" w14:textId="10301CF6" w:rsidR="007D0ECC" w:rsidRPr="004B7085" w:rsidRDefault="007D0ECC" w:rsidP="005415C4">
      <w:pPr>
        <w:pStyle w:val="Heading1"/>
        <w:rPr>
          <w:sz w:val="32"/>
          <w:szCs w:val="32"/>
        </w:rPr>
      </w:pPr>
      <w:r w:rsidRPr="004B7085">
        <w:rPr>
          <w:sz w:val="32"/>
          <w:szCs w:val="32"/>
        </w:rPr>
        <w:t xml:space="preserve">Evidence </w:t>
      </w:r>
      <w:r w:rsidR="003C2BB0" w:rsidRPr="004B7085">
        <w:rPr>
          <w:sz w:val="32"/>
          <w:szCs w:val="32"/>
        </w:rPr>
        <w:t>based on what we heard whilst consulting member shelters</w:t>
      </w:r>
    </w:p>
    <w:p w14:paraId="75010C96" w14:textId="23DB52FA" w:rsidR="005415C4" w:rsidRPr="005415C4" w:rsidRDefault="005415C4" w:rsidP="005415C4">
      <w:pPr>
        <w:pStyle w:val="Heading1"/>
      </w:pPr>
      <w:r w:rsidRPr="005415C4">
        <w:t>Priority Area 1: Victim-Survivors</w:t>
      </w:r>
    </w:p>
    <w:p w14:paraId="3B69613B" w14:textId="77777777" w:rsidR="005415C4" w:rsidRPr="000A5E7F" w:rsidRDefault="005415C4" w:rsidP="005415C4">
      <w:pPr>
        <w:pStyle w:val="ListParagraph"/>
        <w:numPr>
          <w:ilvl w:val="0"/>
          <w:numId w:val="12"/>
        </w:numPr>
        <w:rPr>
          <w:rStyle w:val="Strong"/>
        </w:rPr>
      </w:pPr>
      <w:r w:rsidRPr="000A5E7F">
        <w:rPr>
          <w:rStyle w:val="Strong"/>
        </w:rPr>
        <w:t xml:space="preserve">What service or system responses would make the biggest difference to victim-survivors’ safety, wellbeing, healing and recovery? </w:t>
      </w:r>
    </w:p>
    <w:p w14:paraId="47E1278D" w14:textId="77777777" w:rsidR="00384BAB" w:rsidRDefault="00384BAB" w:rsidP="00384BAB">
      <w:pPr>
        <w:pStyle w:val="ListParagraph"/>
        <w:numPr>
          <w:ilvl w:val="1"/>
          <w:numId w:val="12"/>
        </w:numPr>
        <w:rPr>
          <w:lang w:eastAsia="en-AU"/>
        </w:rPr>
      </w:pPr>
      <w:r>
        <w:t xml:space="preserve">The strongest message across the community visits was that victim-survivor safety depends on practical, place-based responses that recognise housing, transport, workforce and service access barriers in remote communities. Across multiple reports, crisis accommodation was described as essential, but limited exit pathways, overcrowding and a lack of transitional or long-term housing mean women and children can </w:t>
      </w:r>
      <w:r>
        <w:lastRenderedPageBreak/>
        <w:t>become stuck in crisis settings or face unsafe returns home. Communities consistently identified the need for more crisis accommodation capacity, transitional housing, supported overflow options and housing responses that allow women and children to remain connected to family, culture and community where it is safe to do so.</w:t>
      </w:r>
    </w:p>
    <w:p w14:paraId="200B68F1" w14:textId="77777777" w:rsidR="005415C4" w:rsidRPr="000A5E7F" w:rsidRDefault="005415C4" w:rsidP="005415C4">
      <w:pPr>
        <w:pStyle w:val="ListParagraph"/>
        <w:numPr>
          <w:ilvl w:val="0"/>
          <w:numId w:val="12"/>
        </w:numPr>
        <w:rPr>
          <w:rStyle w:val="Strong"/>
        </w:rPr>
      </w:pPr>
      <w:r w:rsidRPr="000A5E7F">
        <w:rPr>
          <w:rStyle w:val="Strong"/>
        </w:rPr>
        <w:t xml:space="preserve">What helps people access support earlier, and what barriers prevent people from seeking help or engaging with systems and services? </w:t>
      </w:r>
    </w:p>
    <w:p w14:paraId="5F8899A9" w14:textId="50E4E81A" w:rsidR="00384BAB" w:rsidRDefault="00384BAB" w:rsidP="00384BAB">
      <w:pPr>
        <w:pStyle w:val="ListParagraph"/>
        <w:numPr>
          <w:ilvl w:val="1"/>
          <w:numId w:val="12"/>
        </w:numPr>
        <w:rPr>
          <w:lang w:eastAsia="en-AU"/>
        </w:rPr>
      </w:pPr>
      <w:r>
        <w:t xml:space="preserve">People are more likely to seek help earlier when support is visible, trusted, confidential, culturally safe and connected to places people already use, such as women’s groups, community hubs, neighbourhood centres, youth activities, schools and local health or family services. Across the reports, barriers included shame, fear of gossip, fear of police or child protection involvement, low trust in services, lack of transport, lack of phone credit, limited childcare, language barriers and uncertainty about whether services would actually help. In relation to sexual violence, </w:t>
      </w:r>
      <w:r w:rsidR="00962D5C">
        <w:t>reports</w:t>
      </w:r>
      <w:r w:rsidR="00FE7382">
        <w:t xml:space="preserve"> </w:t>
      </w:r>
      <w:r>
        <w:t>found that disclosure is often informal and relies on trusted workers or family, rather than formal reporting systems.</w:t>
      </w:r>
    </w:p>
    <w:p w14:paraId="51F9B935" w14:textId="77777777" w:rsidR="005415C4" w:rsidRPr="000A5E7F" w:rsidRDefault="005415C4" w:rsidP="005415C4">
      <w:pPr>
        <w:pStyle w:val="ListParagraph"/>
        <w:numPr>
          <w:ilvl w:val="0"/>
          <w:numId w:val="12"/>
        </w:numPr>
        <w:rPr>
          <w:rStyle w:val="Strong"/>
        </w:rPr>
      </w:pPr>
      <w:r w:rsidRPr="000A5E7F">
        <w:rPr>
          <w:rStyle w:val="Strong"/>
        </w:rPr>
        <w:t>What current or emerging issues should the Second Action Plan address, including in relation to coercive control and technology-facilitated abuse?</w:t>
      </w:r>
    </w:p>
    <w:p w14:paraId="79635E8B" w14:textId="71A9B4AD" w:rsidR="005415C4" w:rsidRDefault="00CF0264" w:rsidP="002A0806">
      <w:pPr>
        <w:pStyle w:val="ListParagraph"/>
        <w:numPr>
          <w:ilvl w:val="1"/>
          <w:numId w:val="12"/>
        </w:numPr>
      </w:pPr>
      <w:r w:rsidRPr="00CF0264">
        <w:t>The Second Action Plan should address coercive control, sexual violence, technology-facilitated abuse, service system delays and the way these issues are experienced in remote Aboriginal and Torres Strait Islander communities. Coercive control was raised in relation to threats, shame, family pressure and behaviours that stop women seeking help. Technology-facilitated abuse was not raised strongly across the reports, but digital access, safe use of technology, confidentiality and client information were recurring issues for shelter staff. Sexual violence was a stronger cross-cutting issue, with several communities describing low awareness, underreporting, normalisation of harmful behaviour and the need for culturally grounded conversations about consent, respectful relationships and safety.</w:t>
      </w:r>
      <w:r w:rsidR="002A0806" w:rsidRPr="005415C4">
        <w:t xml:space="preserve"> </w:t>
      </w:r>
    </w:p>
    <w:p w14:paraId="444CCA7B" w14:textId="26F98E0B" w:rsidR="005415C4" w:rsidRPr="000A5E7F" w:rsidRDefault="005415C4" w:rsidP="005415C4">
      <w:pPr>
        <w:pStyle w:val="ListParagraph"/>
        <w:numPr>
          <w:ilvl w:val="0"/>
          <w:numId w:val="12"/>
        </w:numPr>
        <w:rPr>
          <w:rStyle w:val="Strong"/>
        </w:rPr>
      </w:pPr>
      <w:r w:rsidRPr="000A5E7F">
        <w:rPr>
          <w:rStyle w:val="Strong"/>
        </w:rPr>
        <w:t xml:space="preserve">What gaps remain in addressing the needs of diverse communities, including Aboriginal and Torres Strait Islander people? </w:t>
      </w:r>
    </w:p>
    <w:p w14:paraId="5112CD36" w14:textId="77777777" w:rsidR="00CF0264" w:rsidRDefault="00CF0264" w:rsidP="00CF0264">
      <w:pPr>
        <w:pStyle w:val="ListParagraph"/>
        <w:numPr>
          <w:ilvl w:val="1"/>
          <w:numId w:val="12"/>
        </w:numPr>
        <w:rPr>
          <w:lang w:eastAsia="en-AU"/>
        </w:rPr>
      </w:pPr>
      <w:r>
        <w:t xml:space="preserve">Aboriginal and Torres Strait Islander communities continue to face gaps that are not well addressed by mainstream or centralised service models. Across the reports, participants described mainland or generic models that do not fit island, regional or remote realities, including the Torres Strait context of 17 islands and 18 communities. Gaps included limited housing, limited specialist sexual violence, mental health, AOD and forensic services, lack of culturally safe and locally informed practice guidance, workforce pressures, limited digital infrastructure, and funding </w:t>
      </w:r>
      <w:r>
        <w:lastRenderedPageBreak/>
        <w:t>and reporting models that do not capture the true scope of community-led work. Communities emphasised that responses need to be locally led, culturally grounded, properly resourced and shaped by local cultural authority.</w:t>
      </w:r>
    </w:p>
    <w:p w14:paraId="5100B16A" w14:textId="77777777" w:rsidR="005415C4" w:rsidRPr="005415C4" w:rsidRDefault="005415C4" w:rsidP="005415C4">
      <w:r w:rsidRPr="005415C4">
        <w:t> </w:t>
      </w:r>
    </w:p>
    <w:p w14:paraId="22A31C75" w14:textId="77777777" w:rsidR="005415C4" w:rsidRPr="005415C4" w:rsidRDefault="005415C4" w:rsidP="005415C4">
      <w:pPr>
        <w:pStyle w:val="Heading1"/>
      </w:pPr>
      <w:r w:rsidRPr="005415C4">
        <w:t>Priority Area 2: Prevention and early intervention</w:t>
      </w:r>
    </w:p>
    <w:p w14:paraId="63AC79C2" w14:textId="77777777" w:rsidR="005415C4" w:rsidRPr="003125A3" w:rsidRDefault="005415C4" w:rsidP="005415C4">
      <w:pPr>
        <w:pStyle w:val="ListParagraph"/>
        <w:numPr>
          <w:ilvl w:val="0"/>
          <w:numId w:val="10"/>
        </w:numPr>
        <w:rPr>
          <w:rStyle w:val="Strong"/>
        </w:rPr>
      </w:pPr>
      <w:r w:rsidRPr="003125A3">
        <w:rPr>
          <w:rStyle w:val="Strong"/>
        </w:rPr>
        <w:t xml:space="preserve">What would make the biggest difference in preventing and ultimately ending violence? </w:t>
      </w:r>
    </w:p>
    <w:p w14:paraId="57B203ED" w14:textId="77777777" w:rsidR="00FE7FAD" w:rsidRDefault="00FE7FAD" w:rsidP="00FE7FAD">
      <w:pPr>
        <w:pStyle w:val="ListParagraph"/>
        <w:numPr>
          <w:ilvl w:val="1"/>
          <w:numId w:val="10"/>
        </w:numPr>
        <w:rPr>
          <w:lang w:eastAsia="en-AU"/>
        </w:rPr>
      </w:pPr>
      <w:r>
        <w:t>The biggest difference would come from sustained, community-led prevention that starts where people already gather and trust the conversation. Across the reports, communities consistently spoke about the need to move beyond crisis response and invest in respectful relationships, consent, sexual violence awareness, coercive control education, men’s support pathways, women’s groups, youth programs and whole-of-community conversations. Prevention needs to be locally owned, culturally grounded and delivered through trusted settings such as women’s groups, girls’ and boys’ groups, schools, youth activities, community hubs, yarning circles, health weeks and local events. One-off campaigns are unlikely to shift deeply held silence, stigma or normalised harmful behaviour; communities described the need for long-term, visible and relationship-based work that builds trust over time.</w:t>
      </w:r>
    </w:p>
    <w:p w14:paraId="6D82970C" w14:textId="77777777" w:rsidR="005415C4" w:rsidRPr="003125A3" w:rsidRDefault="005415C4" w:rsidP="005415C4">
      <w:pPr>
        <w:pStyle w:val="ListParagraph"/>
        <w:numPr>
          <w:ilvl w:val="0"/>
          <w:numId w:val="10"/>
        </w:numPr>
        <w:rPr>
          <w:rStyle w:val="Strong"/>
        </w:rPr>
      </w:pPr>
      <w:r w:rsidRPr="003125A3">
        <w:rPr>
          <w:rStyle w:val="Strong"/>
        </w:rPr>
        <w:t xml:space="preserve">How can existing efforts to prevent violence be strengthened or built upon at the individual, community, organisational, institutional and societal levels? </w:t>
      </w:r>
    </w:p>
    <w:p w14:paraId="337694A3" w14:textId="14622A2F" w:rsidR="00FE7FAD" w:rsidRDefault="00FE7FAD" w:rsidP="00FE7FAD">
      <w:pPr>
        <w:pStyle w:val="ListParagraph"/>
        <w:numPr>
          <w:ilvl w:val="1"/>
          <w:numId w:val="10"/>
        </w:numPr>
        <w:rPr>
          <w:lang w:eastAsia="en-AU"/>
        </w:rPr>
      </w:pPr>
      <w:r>
        <w:t xml:space="preserve">Existing efforts should be strengthened by building on local programs that already have community trust, rather than replacing them with generic external programs. At the community level, several reports identified women’s groups, youth activities, camps, open days, yarning groups, health activities, community hubs, school-based engagement and local stakeholder meetings as important prevention spaces. At the organisational level, shelters need practical resources, training and time </w:t>
      </w:r>
      <w:r w:rsidR="00C366DF" w:rsidRPr="00C366DF">
        <w:rPr>
          <w:highlight w:val="yellow"/>
        </w:rPr>
        <w:t>away from day to day duties</w:t>
      </w:r>
      <w:r w:rsidR="00C366DF">
        <w:t xml:space="preserve"> </w:t>
      </w:r>
      <w:r>
        <w:t>so staff can support early conversations about safety, consent, respectful relationships and help-seeking. At the system level, prevention funding should recognise the work already being done by community-controlled services, including activities that may not fit neatly into current reporting categories but are clearly contributing to safety, connection and early support.</w:t>
      </w:r>
    </w:p>
    <w:p w14:paraId="10CBECDB" w14:textId="77777777" w:rsidR="005415C4" w:rsidRPr="003125A3" w:rsidRDefault="005415C4" w:rsidP="005415C4">
      <w:pPr>
        <w:pStyle w:val="ListParagraph"/>
        <w:numPr>
          <w:ilvl w:val="0"/>
          <w:numId w:val="10"/>
        </w:numPr>
        <w:rPr>
          <w:rStyle w:val="Strong"/>
        </w:rPr>
      </w:pPr>
      <w:r w:rsidRPr="003125A3">
        <w:rPr>
          <w:rStyle w:val="Strong"/>
        </w:rPr>
        <w:t xml:space="preserve">How can governments, communities, schools, workplaces, online platforms and others better support people to recognise and respond to harmful attitudes and behaviours? </w:t>
      </w:r>
    </w:p>
    <w:p w14:paraId="5E4CA7C4" w14:textId="77777777" w:rsidR="00FE7FAD" w:rsidRDefault="00FE7FAD" w:rsidP="00FE7FAD">
      <w:pPr>
        <w:pStyle w:val="ListParagraph"/>
        <w:numPr>
          <w:ilvl w:val="1"/>
          <w:numId w:val="10"/>
        </w:numPr>
        <w:rPr>
          <w:lang w:eastAsia="en-AU"/>
        </w:rPr>
      </w:pPr>
      <w:r>
        <w:lastRenderedPageBreak/>
        <w:t>Governments, schools, services and community organisations can better support people to recognise and respond to harmful attitudes and behaviours by using plain language, culturally safe resources and education that reflects local realities. Across multiple communities, participants said that many people more readily recognise physical violence than sexual violence, coercive control or harmful relationship behaviours. Education needs to include consent, respectful relationships, sexual violence, coercive control, cyber safety where relevant, alcohol-related harm and bystander responses. It should be age-appropriate, practical and delivered by trusted people, including local workers, community leaders, Elders, schools, youth programs and culturally safe external partners. For remote communities, this also means avoiding FIFO or one-off models that do not stay long enough to build trust or understand local kinship, language and cultural protocols.</w:t>
      </w:r>
    </w:p>
    <w:p w14:paraId="350BEFEE" w14:textId="77777777" w:rsidR="005415C4" w:rsidRPr="003125A3" w:rsidRDefault="005415C4" w:rsidP="005415C4">
      <w:pPr>
        <w:pStyle w:val="ListParagraph"/>
        <w:numPr>
          <w:ilvl w:val="0"/>
          <w:numId w:val="10"/>
        </w:numPr>
        <w:rPr>
          <w:rStyle w:val="Strong"/>
        </w:rPr>
      </w:pPr>
      <w:r w:rsidRPr="003125A3">
        <w:rPr>
          <w:rStyle w:val="Strong"/>
        </w:rPr>
        <w:t xml:space="preserve">What prevention and early intervention approaches appear most promising or effective, and what is needed to strengthen or expand them? </w:t>
      </w:r>
    </w:p>
    <w:p w14:paraId="2A9950F7" w14:textId="536CF1D7" w:rsidR="00FE7FAD" w:rsidRDefault="00FE7FAD" w:rsidP="00FE7FAD">
      <w:pPr>
        <w:pStyle w:val="ListParagraph"/>
        <w:numPr>
          <w:ilvl w:val="1"/>
          <w:numId w:val="10"/>
        </w:numPr>
        <w:rPr>
          <w:lang w:eastAsia="en-AU"/>
        </w:rPr>
      </w:pPr>
      <w:r>
        <w:t xml:space="preserve">The most promising approaches are those that are community-led, practical and connected to everyday relationships. Across multiple reports, participants identified women’s groups, girls’ and boys’ groups, school-based awareness, youth activities, men’s spaces, men’s healing pathways, local stakeholder meetings, community events, bystander training, open days and yarning-based education as promising prevention and early intervention settings. </w:t>
      </w:r>
      <w:r w:rsidR="00F0228E">
        <w:t xml:space="preserve">Community consultation </w:t>
      </w:r>
      <w:r>
        <w:t>also identified creative education approaches such as film and theatre as culturally resonant ways to open conversations about sexual violence, consent, contraception, STI prevention and healthy relationships. To strengthen these approaches, communities need dedicated prevention funding, trained local facilitators, support from specialist sexual violence and DFSV workers, practical resources, transport and childcare support, and enough time for programs to build trust and become part of community life.</w:t>
      </w:r>
    </w:p>
    <w:p w14:paraId="66876C06" w14:textId="590878B7" w:rsidR="005415C4" w:rsidRPr="003125A3" w:rsidRDefault="005415C4" w:rsidP="005415C4">
      <w:pPr>
        <w:pStyle w:val="ListParagraph"/>
        <w:numPr>
          <w:ilvl w:val="0"/>
          <w:numId w:val="10"/>
        </w:numPr>
        <w:rPr>
          <w:rStyle w:val="Strong"/>
        </w:rPr>
      </w:pPr>
      <w:r w:rsidRPr="003125A3">
        <w:rPr>
          <w:rStyle w:val="Strong"/>
        </w:rPr>
        <w:t>What emerging issues should the Second Action Plan address in relation to primary prevention and early intervention?</w:t>
      </w:r>
    </w:p>
    <w:p w14:paraId="3D820A41" w14:textId="5FB37383" w:rsidR="00FE7FAD" w:rsidRDefault="00FE7FAD" w:rsidP="00FE7FAD">
      <w:pPr>
        <w:pStyle w:val="ListParagraph"/>
        <w:numPr>
          <w:ilvl w:val="1"/>
          <w:numId w:val="10"/>
        </w:numPr>
        <w:rPr>
          <w:lang w:eastAsia="en-AU"/>
        </w:rPr>
      </w:pPr>
      <w:r>
        <w:t xml:space="preserve">The Second Action Plan should address the hidden and underreported nature of sexual violence, the normalisation of harmful behaviours, the lack of early education for children and young people, and the limited availability of culturally safe prevention infrastructure in remote communities. Sexual violence was raised in several community reports, but the detail varied between locations. Where it was discussed, participants described low reporting, shame, fear of gossip, lack of trust in police or services, young people lacking understanding of consent, and </w:t>
      </w:r>
      <w:r>
        <w:lastRenderedPageBreak/>
        <w:t>harmful behaviours being minimised or treated as private family matters. Other emerging issues include the need for stronger perpetrator accountability, alcohol and drug-related harm, school disengagement, unsafe night-time environments for children and young people, and the risk that prevention work remains unfunded because it sits outside narrow crisis accommodation models.</w:t>
      </w:r>
    </w:p>
    <w:p w14:paraId="744812DE" w14:textId="77777777" w:rsidR="005415C4" w:rsidRPr="005415C4" w:rsidRDefault="005415C4" w:rsidP="005415C4">
      <w:r w:rsidRPr="005415C4">
        <w:t> </w:t>
      </w:r>
    </w:p>
    <w:p w14:paraId="0C08D60C" w14:textId="77777777" w:rsidR="005415C4" w:rsidRPr="005415C4" w:rsidRDefault="005415C4" w:rsidP="005415C4">
      <w:pPr>
        <w:pStyle w:val="Heading1"/>
      </w:pPr>
      <w:r w:rsidRPr="005415C4">
        <w:t>Priority Area 3: Children and young people in their own right</w:t>
      </w:r>
    </w:p>
    <w:p w14:paraId="4A084687" w14:textId="77777777" w:rsidR="005415C4" w:rsidRPr="005415C4" w:rsidRDefault="005415C4" w:rsidP="005415C4">
      <w:r w:rsidRPr="005415C4">
        <w:t> </w:t>
      </w:r>
    </w:p>
    <w:p w14:paraId="1A20C750" w14:textId="77777777" w:rsidR="005415C4" w:rsidRPr="0035052E" w:rsidRDefault="005415C4" w:rsidP="0035052E">
      <w:pPr>
        <w:pStyle w:val="ListParagraph"/>
        <w:numPr>
          <w:ilvl w:val="0"/>
          <w:numId w:val="10"/>
        </w:numPr>
        <w:rPr>
          <w:rStyle w:val="Strong"/>
        </w:rPr>
      </w:pPr>
      <w:r w:rsidRPr="0035052E">
        <w:rPr>
          <w:rStyle w:val="Strong"/>
        </w:rPr>
        <w:t>What would make the biggest difference to improving safety, recovery and wellbeing outcomes for children and young people affected by this violence?</w:t>
      </w:r>
    </w:p>
    <w:p w14:paraId="0821E385" w14:textId="3AC25E49" w:rsidR="00F21A7A" w:rsidRDefault="00F21A7A" w:rsidP="00F21A7A">
      <w:pPr>
        <w:pStyle w:val="ListParagraph"/>
        <w:numPr>
          <w:ilvl w:val="1"/>
          <w:numId w:val="11"/>
        </w:numPr>
        <w:rPr>
          <w:lang w:eastAsia="en-AU"/>
        </w:rPr>
      </w:pPr>
      <w:r>
        <w:t xml:space="preserve">The biggest difference for children and young people would be to treat them as victim-survivors and community members in their own right, not only as part of an adult’s safety plan. Across the reports, children and young people were affected by housing shortages, shelter capacity limits, older boys being excluded from some accommodation models, school disengagement, exposure to violence at home, alcohol-related harm, and limited age-appropriate support. Several communities identified that women may stay in unsafe homes because shelter rules or accommodation models cannot safely support older boys, while other reports described the need for whole-family and whole-of-community </w:t>
      </w:r>
      <w:r w:rsidR="005409D1">
        <w:t>responses,</w:t>
      </w:r>
      <w:r>
        <w:t xml:space="preserve"> so children are not left without help when violence affects the whole household. Improving outcomes would require age-appropriate crisis accommodation, safe pathways for families with older children, youth-focused prevention and recovery programs, stronger links with schools and youth services, and practical support that helps children remain connected to education, culture, family and community where it is safe to do so.</w:t>
      </w:r>
    </w:p>
    <w:p w14:paraId="0379DD01" w14:textId="77777777" w:rsidR="005415C4" w:rsidRPr="0035052E" w:rsidRDefault="005415C4" w:rsidP="0035052E">
      <w:pPr>
        <w:pStyle w:val="ListParagraph"/>
        <w:numPr>
          <w:ilvl w:val="0"/>
          <w:numId w:val="10"/>
        </w:numPr>
        <w:rPr>
          <w:rStyle w:val="Strong"/>
        </w:rPr>
      </w:pPr>
      <w:r w:rsidRPr="0035052E">
        <w:rPr>
          <w:rStyle w:val="Strong"/>
        </w:rPr>
        <w:t xml:space="preserve">How can governments, services, education settings, families, communities and others better recognise and respond to children and young people experiencing violence or harm? </w:t>
      </w:r>
    </w:p>
    <w:p w14:paraId="431F0B65" w14:textId="77777777" w:rsidR="00F21A7A" w:rsidRDefault="00F21A7A" w:rsidP="00F21A7A">
      <w:pPr>
        <w:pStyle w:val="ListParagraph"/>
        <w:numPr>
          <w:ilvl w:val="1"/>
          <w:numId w:val="11"/>
        </w:numPr>
        <w:rPr>
          <w:lang w:eastAsia="en-AU"/>
        </w:rPr>
      </w:pPr>
      <w:r>
        <w:t xml:space="preserve">Governments, services, education settings, families and communities can better recognise and respond to children and young people by strengthening trusted local pathways for early identification, disclosure and support. Across multiple reports, participants identified schools, youth activities, girls’ and boys’ groups, health programs, women’s groups and community hubs as important settings where concerns may be noticed earlier and where education can be delivered safely. In relation to </w:t>
      </w:r>
      <w:r>
        <w:lastRenderedPageBreak/>
        <w:t>sexual violence, several sources described young people lacking consistent education about consent, respectful relationships and safety, with concerns including early pregnancies, STIs, young people being exploited, and harmful behaviours not always being reported or followed up. Responses need to be culturally safe, confidential, age-appropriate and relationship-based, with clear pathways between schools, shelters, health, youth services, police and specialist sexual violence supports so children and young people are not left to rely only on informal family or community systems.</w:t>
      </w:r>
    </w:p>
    <w:p w14:paraId="7A4A10E0" w14:textId="77777777" w:rsidR="005415C4" w:rsidRPr="0035052E" w:rsidRDefault="005415C4" w:rsidP="0035052E">
      <w:pPr>
        <w:pStyle w:val="ListParagraph"/>
        <w:numPr>
          <w:ilvl w:val="0"/>
          <w:numId w:val="10"/>
        </w:numPr>
        <w:rPr>
          <w:rStyle w:val="Strong"/>
        </w:rPr>
      </w:pPr>
      <w:r w:rsidRPr="0035052E">
        <w:rPr>
          <w:rStyle w:val="Strong"/>
        </w:rPr>
        <w:t xml:space="preserve">What approaches are most effective in supporting children and young people who are using violence or displaying harmful sexual behaviours to take accountability, change behaviours, and reduce harm? </w:t>
      </w:r>
    </w:p>
    <w:p w14:paraId="1792F4F5" w14:textId="0CAE2229" w:rsidR="00F21A7A" w:rsidRDefault="00F21A7A" w:rsidP="00F21A7A">
      <w:pPr>
        <w:pStyle w:val="ListParagraph"/>
        <w:numPr>
          <w:ilvl w:val="1"/>
          <w:numId w:val="11"/>
        </w:numPr>
        <w:rPr>
          <w:lang w:eastAsia="en-AU"/>
        </w:rPr>
      </w:pPr>
      <w:r>
        <w:t>The reports did not identify a single established model for responding to children and young people using violence or displaying harmful sexual behaviours. However, several communities raised the need for early, age-appropriate responses that combine safety, accountability, education and family engagement. Participants described concerns about harmful sexual behaviours beginning young, lack of supervision, alcohol and drug-related risk, children being out at night, school disengagement and limited understanding of consent and respectful relationships. The most promising direction from the evidence is not a punitive or isolated response, but coordinated local pathways that involve schools, youth programs, families, health services, specialist sexual violence supports</w:t>
      </w:r>
      <w:r w:rsidR="00193D17">
        <w:t>, having child specific workers in shelters</w:t>
      </w:r>
      <w:r>
        <w:t xml:space="preserve"> and culturally safe community workers. Approaches should help young people understand harm, take responsibility, build respectful relationship skills and reconnect with education and positive activities, while keeping victim-survivor safety and confidentiality at the centre.</w:t>
      </w:r>
    </w:p>
    <w:p w14:paraId="50890980" w14:textId="77777777" w:rsidR="005415C4" w:rsidRPr="0035052E" w:rsidRDefault="005415C4" w:rsidP="0035052E">
      <w:pPr>
        <w:pStyle w:val="ListParagraph"/>
        <w:numPr>
          <w:ilvl w:val="0"/>
          <w:numId w:val="10"/>
        </w:numPr>
        <w:rPr>
          <w:rStyle w:val="Strong"/>
        </w:rPr>
      </w:pPr>
      <w:r w:rsidRPr="0035052E">
        <w:rPr>
          <w:rStyle w:val="Strong"/>
        </w:rPr>
        <w:t xml:space="preserve">How should the Second Action Plan respond to current or emerging forms of harm affecting children and young people, including technology-facilitated abuse, harmful online content, and violence within peer and dating relationships? </w:t>
      </w:r>
    </w:p>
    <w:p w14:paraId="0250189B" w14:textId="6500DADC" w:rsidR="00F21A7A" w:rsidRDefault="00F21A7A" w:rsidP="00F21A7A">
      <w:pPr>
        <w:pStyle w:val="ListParagraph"/>
        <w:numPr>
          <w:ilvl w:val="1"/>
          <w:numId w:val="11"/>
        </w:numPr>
        <w:rPr>
          <w:lang w:eastAsia="en-AU"/>
        </w:rPr>
      </w:pPr>
      <w:r>
        <w:t>The Second Action Plan should respond to current and emerging harm for children and young people by investing in early education, youth-focused safety responses and locally relevant prevention work. Technology-facilitated abuse and harmful online content were not raised strongly or consistently across the community reports. However, the sexual violence summary and some community reports did identify the need for education on cyber safety, consent, coercive control, healthy relationships and respectful behaviour. Violence within peer and dating relationships should be addressed through school-based and youth-</w:t>
      </w:r>
      <w:r>
        <w:lastRenderedPageBreak/>
        <w:t>focused programs that are practical, culturally safe and delivered through trusted local settings. In remote communities, this work also needs to sit alongside broader responses to alcohol and drug-related harm, unsafe night-time environments, lack of structured youth activities, school disengagement and the absence of confidential youth-friendly service pathways.</w:t>
      </w:r>
    </w:p>
    <w:p w14:paraId="3A867D6A" w14:textId="3D49BA9E" w:rsidR="005415C4" w:rsidRPr="0035052E" w:rsidRDefault="005415C4" w:rsidP="0035052E">
      <w:pPr>
        <w:pStyle w:val="ListParagraph"/>
        <w:numPr>
          <w:ilvl w:val="0"/>
          <w:numId w:val="10"/>
        </w:numPr>
        <w:rPr>
          <w:rStyle w:val="Strong"/>
        </w:rPr>
      </w:pPr>
      <w:r w:rsidRPr="0035052E">
        <w:rPr>
          <w:rStyle w:val="Strong"/>
        </w:rPr>
        <w:t>How can children and young people be meaningfully involved in shaping the policies, programs and services that affect them?</w:t>
      </w:r>
    </w:p>
    <w:p w14:paraId="70315226" w14:textId="77777777" w:rsidR="00F21A7A" w:rsidRDefault="00F21A7A" w:rsidP="00F21A7A">
      <w:pPr>
        <w:pStyle w:val="ListParagraph"/>
        <w:numPr>
          <w:ilvl w:val="1"/>
          <w:numId w:val="11"/>
        </w:numPr>
        <w:rPr>
          <w:lang w:eastAsia="en-AU"/>
        </w:rPr>
      </w:pPr>
      <w:r>
        <w:t>Children and young people should be involved through safe, supported and culturally appropriate participation processes that are designed around their age, confidence, language, cultural identity and community context. The reports point to the value of schools, youth programs, girls’ and boys’ groups, camps, yarning circles, creative activities and community events as trusted spaces where young people can contribute without being placed under pressure or exposed to shame. Participation should not rely only on formal consultation methods. It should include practical and creative ways for young people to describe what safety, support, healing and healthy relationships mean to them, with separate spaces where needed for girls, boys and different age groups. This should be facilitated by trusted local workers and cultural leaders, with clear consent, confidentiality and follow-up so young people can see how their voices have shaped policies, programs and services.</w:t>
      </w:r>
    </w:p>
    <w:p w14:paraId="54861337" w14:textId="77777777" w:rsidR="005415C4" w:rsidRPr="005415C4" w:rsidRDefault="005415C4" w:rsidP="005415C4">
      <w:r w:rsidRPr="005415C4">
        <w:t> </w:t>
      </w:r>
    </w:p>
    <w:p w14:paraId="369BF84D" w14:textId="77777777" w:rsidR="005415C4" w:rsidRPr="005415C4" w:rsidRDefault="005415C4" w:rsidP="005415C4">
      <w:pPr>
        <w:pStyle w:val="Heading1"/>
      </w:pPr>
      <w:r w:rsidRPr="005415C4">
        <w:t>Priority Area 4: People who use violence</w:t>
      </w:r>
    </w:p>
    <w:p w14:paraId="18917B37" w14:textId="77777777" w:rsidR="005415C4" w:rsidRPr="005415C4" w:rsidRDefault="005415C4" w:rsidP="005415C4">
      <w:r w:rsidRPr="005415C4">
        <w:t> </w:t>
      </w:r>
    </w:p>
    <w:p w14:paraId="10D88240" w14:textId="77777777" w:rsidR="005415C4" w:rsidRPr="00DB06CA" w:rsidRDefault="005415C4" w:rsidP="005415C4">
      <w:pPr>
        <w:pStyle w:val="ListParagraph"/>
        <w:numPr>
          <w:ilvl w:val="0"/>
          <w:numId w:val="6"/>
        </w:numPr>
        <w:rPr>
          <w:rStyle w:val="Strong"/>
        </w:rPr>
      </w:pPr>
      <w:r w:rsidRPr="00DB06CA">
        <w:rPr>
          <w:rStyle w:val="Strong"/>
        </w:rPr>
        <w:t xml:space="preserve">What would make the biggest difference in preventing and responding earlier to the use of violence? </w:t>
      </w:r>
    </w:p>
    <w:p w14:paraId="3CBD4D40" w14:textId="77777777" w:rsidR="005D5440" w:rsidRDefault="005D5440" w:rsidP="005D5440">
      <w:pPr>
        <w:pStyle w:val="ListParagraph"/>
        <w:numPr>
          <w:ilvl w:val="1"/>
          <w:numId w:val="6"/>
        </w:numPr>
        <w:rPr>
          <w:lang w:eastAsia="en-AU"/>
        </w:rPr>
      </w:pPr>
      <w:r>
        <w:t xml:space="preserve">The biggest difference would be to stop placing the burden of safety almost entirely on women and children, and to create practical, culturally safe pathways for people using violence to be held accountable and supported to change. Across multiple communities, participants described situations where women and children are the ones who must leave home, school, family and community because there are few safe options for removing or supporting the person using violence. Reports from several communities identified the need for men’s spaces, men’s shelters, men’s healing pathways, behaviour change support, counselling, anger management, healthy relationships work, AOD responses and safe places for men to cool down, yarn and be connected </w:t>
      </w:r>
      <w:r>
        <w:lastRenderedPageBreak/>
        <w:t>to services. These responses need to be linked to victim-survivor safety planning, not treated as separate from women and children’s safety.</w:t>
      </w:r>
    </w:p>
    <w:p w14:paraId="0948EF63" w14:textId="77777777" w:rsidR="005415C4" w:rsidRPr="00DB06CA" w:rsidRDefault="005415C4" w:rsidP="005415C4">
      <w:pPr>
        <w:pStyle w:val="ListParagraph"/>
        <w:numPr>
          <w:ilvl w:val="0"/>
          <w:numId w:val="6"/>
        </w:numPr>
        <w:rPr>
          <w:rStyle w:val="Strong"/>
        </w:rPr>
      </w:pPr>
      <w:r w:rsidRPr="00DB06CA">
        <w:rPr>
          <w:rStyle w:val="Strong"/>
        </w:rPr>
        <w:t xml:space="preserve">How can services, families, communities, workplaces, institutions and others better recognise and respond safely to people using violence or at risk of using violence? </w:t>
      </w:r>
    </w:p>
    <w:p w14:paraId="3564D301" w14:textId="77777777" w:rsidR="005D5440" w:rsidRDefault="005D5440" w:rsidP="005D5440">
      <w:pPr>
        <w:pStyle w:val="ListParagraph"/>
        <w:numPr>
          <w:ilvl w:val="1"/>
          <w:numId w:val="6"/>
        </w:numPr>
        <w:rPr>
          <w:lang w:eastAsia="en-AU"/>
        </w:rPr>
      </w:pPr>
      <w:r>
        <w:t>Services, families, communities, workplaces and institutions can better recognise and respond by using local relationships, shared protocols and clear escalation pathways to identify risk earlier and respond safely. Across the reports, frontline staff and stakeholders described repeat patterns of violence, alcohol-related harm, coercive control, family pressure, intimidation, threats, and situations where community members may know who is causing harm but do not feel safe or supported to intervene. Responses should not rely only on police or crisis accommodation after violence escalates. Communities need trusted ways to raise concerns, culturally safe bystander and community education, clear referral pathways for men and boys, and coordinated responses between shelters, police, health, councils, justice groups, youth services, AOD services and community-controlled organisations. In small communities, this must be done carefully so confidentiality and victim-survivor safety are not compromised.</w:t>
      </w:r>
    </w:p>
    <w:p w14:paraId="5683A398" w14:textId="77777777" w:rsidR="005415C4" w:rsidRPr="00DB06CA" w:rsidRDefault="005415C4" w:rsidP="005415C4">
      <w:pPr>
        <w:pStyle w:val="ListParagraph"/>
        <w:numPr>
          <w:ilvl w:val="0"/>
          <w:numId w:val="6"/>
        </w:numPr>
        <w:rPr>
          <w:rStyle w:val="Strong"/>
        </w:rPr>
      </w:pPr>
      <w:r w:rsidRPr="00DB06CA">
        <w:rPr>
          <w:rStyle w:val="Strong"/>
        </w:rPr>
        <w:t xml:space="preserve">What approaches are most effective in supporting people who use violence to take accountability, change behaviours, and reduce the use of violence, while focusing on victim-survivor safety? </w:t>
      </w:r>
    </w:p>
    <w:p w14:paraId="4F98085C" w14:textId="77777777" w:rsidR="005D5440" w:rsidRDefault="005D5440" w:rsidP="005D5440">
      <w:pPr>
        <w:pStyle w:val="ListParagraph"/>
        <w:numPr>
          <w:ilvl w:val="1"/>
          <w:numId w:val="6"/>
        </w:numPr>
        <w:rPr>
          <w:lang w:eastAsia="en-AU"/>
        </w:rPr>
      </w:pPr>
      <w:r>
        <w:t>The most effective approaches identified in the consultation material are those that combine accountability, healing, behaviour change and practical support, while keeping women and children’s safety central. Communities did not describe one consistent evidence-based perpetrator intervention model already operating across the region. Instead, they repeatedly identified a gap in responses for men using violence. Promising directions included men’s groups, men’s sheds, cultural mentoring, men’s healing houses, behaviour change programs, counselling, alcohol and other drug support, healthy relationships education and case management. Participants were clear that these approaches should not excuse violence or shift responsibility away from the person using violence. They should create safer pathways for men to be separated from immediate conflict, connected to support, held accountable by services and community, and helped to change behaviour before violence becomes more serious or repeated.</w:t>
      </w:r>
    </w:p>
    <w:p w14:paraId="2030AD45" w14:textId="5C212FB0" w:rsidR="005415C4" w:rsidRPr="00DB06CA" w:rsidRDefault="005415C4" w:rsidP="005415C4">
      <w:pPr>
        <w:pStyle w:val="ListParagraph"/>
        <w:numPr>
          <w:ilvl w:val="0"/>
          <w:numId w:val="6"/>
        </w:numPr>
        <w:rPr>
          <w:rStyle w:val="Strong"/>
        </w:rPr>
      </w:pPr>
      <w:r w:rsidRPr="00DB06CA">
        <w:rPr>
          <w:rStyle w:val="Strong"/>
        </w:rPr>
        <w:t>How can governments and services, among others, strengthen culturally safe, accessible and evidence-informed responses for a range of communities and cohorts</w:t>
      </w:r>
      <w:r w:rsidR="00DB06CA">
        <w:rPr>
          <w:rStyle w:val="Strong"/>
        </w:rPr>
        <w:t>?</w:t>
      </w:r>
    </w:p>
    <w:p w14:paraId="59F59B1E" w14:textId="77777777" w:rsidR="005D5440" w:rsidRDefault="005D5440" w:rsidP="005D5440">
      <w:pPr>
        <w:pStyle w:val="ListParagraph"/>
        <w:numPr>
          <w:ilvl w:val="1"/>
          <w:numId w:val="6"/>
        </w:numPr>
        <w:rPr>
          <w:lang w:eastAsia="en-AU"/>
        </w:rPr>
      </w:pPr>
      <w:r>
        <w:lastRenderedPageBreak/>
        <w:t>Governments and services can strengthen culturally safe, accessible and evidence-informed responses by funding place-based models that are led or shaped by Aboriginal and Torres Strait Islander communities. Across the reports, participants emphasised that responses for people using violence must reflect local cultural authority, kinship systems, clan relationships, language, geography and service availability. Generic or FIFO models were not seen as enough to build trust or create sustained change. In remote communities, effective responses need safe physical spaces, local workers and mentors, specialist support where needed, transport, after-hours options, AOD and mental health pathways, and strong links with victim-survivor safety planning. Where a response is only mentioned in one or two communities, such as a specific men’s healing house or men’s space, it should still be taken seriously as part of a broader pattern: many communities are asking for practical options for men so that women and children are not always the ones forced to leave.</w:t>
      </w:r>
    </w:p>
    <w:p w14:paraId="06740411" w14:textId="77777777" w:rsidR="005415C4" w:rsidRPr="005415C4" w:rsidRDefault="005415C4" w:rsidP="005415C4">
      <w:r w:rsidRPr="005415C4">
        <w:t> </w:t>
      </w:r>
    </w:p>
    <w:p w14:paraId="2BCCA50B" w14:textId="77777777" w:rsidR="005415C4" w:rsidRPr="005415C4" w:rsidRDefault="005415C4" w:rsidP="005415C4">
      <w:pPr>
        <w:pStyle w:val="Heading1"/>
      </w:pPr>
      <w:r w:rsidRPr="005415C4">
        <w:t>Priority Area 5: System Integration and Workforce</w:t>
      </w:r>
    </w:p>
    <w:p w14:paraId="64E4588E" w14:textId="77777777" w:rsidR="005415C4" w:rsidRPr="005415C4" w:rsidRDefault="005415C4" w:rsidP="005415C4">
      <w:r w:rsidRPr="005415C4">
        <w:t> </w:t>
      </w:r>
    </w:p>
    <w:p w14:paraId="2CDA2F11" w14:textId="77777777" w:rsidR="005415C4" w:rsidRPr="002F3D9C" w:rsidRDefault="005415C4" w:rsidP="005415C4">
      <w:pPr>
        <w:pStyle w:val="ListParagraph"/>
        <w:numPr>
          <w:ilvl w:val="0"/>
          <w:numId w:val="7"/>
        </w:numPr>
        <w:rPr>
          <w:rStyle w:val="Strong"/>
        </w:rPr>
      </w:pPr>
      <w:r w:rsidRPr="002F3D9C">
        <w:rPr>
          <w:rStyle w:val="Strong"/>
        </w:rPr>
        <w:t>What would make the biggest difference in creating a more coordinated and connected system response for people affected by violence against women and children and other forms of gender-based violence and people using violence?</w:t>
      </w:r>
    </w:p>
    <w:p w14:paraId="50F3AEF8" w14:textId="77777777" w:rsidR="002F3D9C" w:rsidRDefault="002F3D9C" w:rsidP="002F3D9C">
      <w:pPr>
        <w:pStyle w:val="ListParagraph"/>
        <w:numPr>
          <w:ilvl w:val="1"/>
          <w:numId w:val="7"/>
        </w:numPr>
        <w:rPr>
          <w:lang w:eastAsia="en-AU"/>
        </w:rPr>
      </w:pPr>
      <w:r>
        <w:t>The biggest difference would come from a system that supports local coordination rather than expecting small remote services to hold risk, referrals, reporting and crisis response alone. Across the reports, shelters were repeatedly described as filling gaps across housing, health, child protection, justice, financial support, mental health, alcohol and other drug issues, transport and after-hours crisis response. This creates pressure because many external services are visiting, centralised, unavailable after hours or difficult to access quickly. A more coordinated system would include clear shared protocols, faster escalation pathways, warm referral processes, joint case planning where appropriate, practical service directories, and consistent feedback loops so shelters know whether a referral has been accepted, declined or acted on. It would also recognise that coordination itself is work and needs to be funded, especially in remote communities where personal relationships often hold the system together.</w:t>
      </w:r>
    </w:p>
    <w:p w14:paraId="2C40246C" w14:textId="77777777" w:rsidR="005415C4" w:rsidRPr="002F3D9C" w:rsidRDefault="005415C4" w:rsidP="005415C4">
      <w:pPr>
        <w:pStyle w:val="ListParagraph"/>
        <w:numPr>
          <w:ilvl w:val="0"/>
          <w:numId w:val="7"/>
        </w:numPr>
        <w:rPr>
          <w:rStyle w:val="Strong"/>
        </w:rPr>
      </w:pPr>
      <w:r w:rsidRPr="002F3D9C">
        <w:rPr>
          <w:rStyle w:val="Strong"/>
        </w:rPr>
        <w:lastRenderedPageBreak/>
        <w:t xml:space="preserve">What workforce capabilities, supports, or conditions are most needed to strengthen prevention, early intervention, response and recovery? </w:t>
      </w:r>
    </w:p>
    <w:p w14:paraId="7EF07A1B" w14:textId="77777777" w:rsidR="002F3D9C" w:rsidRDefault="002F3D9C" w:rsidP="002F3D9C">
      <w:pPr>
        <w:pStyle w:val="ListParagraph"/>
        <w:numPr>
          <w:ilvl w:val="1"/>
          <w:numId w:val="7"/>
        </w:numPr>
        <w:rPr>
          <w:lang w:eastAsia="en-AU"/>
        </w:rPr>
      </w:pPr>
      <w:r>
        <w:t>The workforce capability needs were highly consistent across the community visits. Staff and leaders identified the need for practical training in intake, risk assessment, safety planning, case notes, de-escalation, crisis response, sexual violence, trauma-informed practice, alcohol and other drug awareness, complex client presentations, reporting, digital tools and culturally safe practice. Just as importantly, staff need the conditions that allow them to do the work well: supervision, mentoring, reflective practice, debriefing, wellbeing support, release time for training, adequate staffing, access to qualifications and career pathways, and pay and conditions that support retention. In small communities, local workers bring cultural knowledge, language, kinship understanding and community trust, but they are also carrying the added pressure of doing crisis work where personal, family and professional relationships overlap. Workforce development therefore needs to support local staff without placing all responsibility for cultural knowledge, safety and community relationships onto a small number of workers.</w:t>
      </w:r>
    </w:p>
    <w:p w14:paraId="74452759" w14:textId="77777777" w:rsidR="005415C4" w:rsidRPr="002F3D9C" w:rsidRDefault="005415C4" w:rsidP="005415C4">
      <w:pPr>
        <w:pStyle w:val="ListParagraph"/>
        <w:numPr>
          <w:ilvl w:val="0"/>
          <w:numId w:val="7"/>
        </w:numPr>
        <w:rPr>
          <w:rStyle w:val="Strong"/>
        </w:rPr>
      </w:pPr>
      <w:r w:rsidRPr="002F3D9C">
        <w:rPr>
          <w:rStyle w:val="Strong"/>
        </w:rPr>
        <w:t xml:space="preserve">What approaches or models appear most effective in improving collaboration, coordination and information sharing across services, systems and programs? </w:t>
      </w:r>
    </w:p>
    <w:p w14:paraId="08DA2951" w14:textId="77777777" w:rsidR="002F3D9C" w:rsidRDefault="002F3D9C" w:rsidP="002F3D9C">
      <w:pPr>
        <w:pStyle w:val="ListParagraph"/>
        <w:numPr>
          <w:ilvl w:val="1"/>
          <w:numId w:val="7"/>
        </w:numPr>
        <w:rPr>
          <w:lang w:eastAsia="en-AU"/>
        </w:rPr>
      </w:pPr>
      <w:r>
        <w:t>The approaches that appear most effective are practical, relationship-based and supported by simple shared tools. Across the reports, participants identified warm referrals, direct contact between shelter managers and caseworkers, shared case planning, local stakeholder meetings, service directories, referral follow-up processes, internal referral forms, network communication spaces and peer learning as valuable ways to improve collaboration. The strongest examples were not complex system reforms, but practical arrangements that help workers know who to contact, what each service can provide, what eligibility rules apply, and what has happened after a referral is made. Digital tools may help where they are simple, trusted and designed for low-bandwidth and low-digital-confidence environments, but they should not replace local relationships. Information sharing also needs clear safeguards, especially in small communities where confidentiality, kinship connections and client safety are closely connected.</w:t>
      </w:r>
    </w:p>
    <w:p w14:paraId="0D212B5D" w14:textId="77777777" w:rsidR="005415C4" w:rsidRPr="002F3D9C" w:rsidRDefault="005415C4" w:rsidP="005415C4">
      <w:pPr>
        <w:pStyle w:val="ListParagraph"/>
        <w:numPr>
          <w:ilvl w:val="0"/>
          <w:numId w:val="7"/>
        </w:numPr>
        <w:rPr>
          <w:rStyle w:val="Strong"/>
        </w:rPr>
      </w:pPr>
      <w:r w:rsidRPr="002F3D9C">
        <w:rPr>
          <w:rStyle w:val="Strong"/>
        </w:rPr>
        <w:t xml:space="preserve">What supports do specialist and universal services need to provide inclusive, accessible and response services? </w:t>
      </w:r>
    </w:p>
    <w:p w14:paraId="6D977AA5" w14:textId="77777777" w:rsidR="002F3D9C" w:rsidRDefault="002F3D9C" w:rsidP="002F3D9C">
      <w:pPr>
        <w:pStyle w:val="ListParagraph"/>
        <w:numPr>
          <w:ilvl w:val="1"/>
          <w:numId w:val="7"/>
        </w:numPr>
        <w:rPr>
          <w:lang w:eastAsia="en-AU"/>
        </w:rPr>
      </w:pPr>
      <w:r>
        <w:t xml:space="preserve">Specialist and universal services need support to provide accessible and responsive services in ways that fit remote Aboriginal and Torres Strait Islander community contexts. This includes culturally safe training, local </w:t>
      </w:r>
      <w:r>
        <w:lastRenderedPageBreak/>
        <w:t>induction, plain-language resources, clear referral pathways, transport options, outreach capacity, after-hours arrangements, accessible digital and paper-based tools, and stronger links with community-controlled organisations. Universal services such as health, police, schools, councils and community centres need to understand the role of shelters and know how to respond safely when domestic, family or sexual violence is disclosed. Specialist services need funding models that allow them to travel, stay visible in community, build relationships over time and respond when crisis happens, rather than only during scheduled visits. Both specialist and universal services need to listen to local cultural authority and work alongside local services rather than expecting remote shelters to absorb system gaps.</w:t>
      </w:r>
    </w:p>
    <w:p w14:paraId="27263D51" w14:textId="55CAFFF6" w:rsidR="005415C4" w:rsidRPr="002F3D9C" w:rsidRDefault="005415C4" w:rsidP="005415C4">
      <w:pPr>
        <w:pStyle w:val="ListParagraph"/>
        <w:numPr>
          <w:ilvl w:val="0"/>
          <w:numId w:val="7"/>
        </w:numPr>
        <w:rPr>
          <w:rStyle w:val="Strong"/>
        </w:rPr>
      </w:pPr>
      <w:r w:rsidRPr="002F3D9C">
        <w:rPr>
          <w:rStyle w:val="Strong"/>
        </w:rPr>
        <w:t>What evidence, workforce or system gaps should the Second Action Plan prioritise to strengthen implementation and improve outcomes over time?</w:t>
      </w:r>
    </w:p>
    <w:p w14:paraId="73B964DA" w14:textId="77777777" w:rsidR="002F3D9C" w:rsidRDefault="002F3D9C" w:rsidP="002F3D9C">
      <w:pPr>
        <w:pStyle w:val="ListParagraph"/>
        <w:numPr>
          <w:ilvl w:val="1"/>
          <w:numId w:val="7"/>
        </w:numPr>
        <w:rPr>
          <w:lang w:eastAsia="en-AU"/>
        </w:rPr>
      </w:pPr>
      <w:r>
        <w:t>The Second Action Plan should prioritise gaps in local data, workforce capacity, reporting systems, service availability and implementation support. Across the reports, participants said current data and reporting do not show the full scope, complexity, prevention impact or cost of remote service delivery. Torres Strait participants were particularly clear that local realities can disappear when data is combined with broader mainland regional data. Workforce gaps were also consistent, including limited specialist training, burnout, lack of supervision, housing shortages affecting recruitment, difficulty accessing qualifications and limited career pathways for local staff. System gaps included slow crisis pathways, unclear referral processes, limited after-hours support, visiting service models that do not match crisis timing, and a lack of specialist sexual violence, mental health, forensic and AOD services. Implementation should therefore include place-based funding, simpler reporting, local data visibility, practical tools, ongoing training, stable points of contact and mechanisms for communities to see how their information is used and what action follows.</w:t>
      </w:r>
    </w:p>
    <w:p w14:paraId="32AF735A" w14:textId="77777777" w:rsidR="005415C4" w:rsidRDefault="005415C4"/>
    <w:sectPr w:rsidR="005415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01411"/>
    <w:multiLevelType w:val="multilevel"/>
    <w:tmpl w:val="1F8A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43039"/>
    <w:multiLevelType w:val="multilevel"/>
    <w:tmpl w:val="87E27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DC5049"/>
    <w:multiLevelType w:val="hybridMultilevel"/>
    <w:tmpl w:val="6FC66A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DE13F3"/>
    <w:multiLevelType w:val="multilevel"/>
    <w:tmpl w:val="FF3EB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7D5AFD"/>
    <w:multiLevelType w:val="multilevel"/>
    <w:tmpl w:val="A9442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E24A2"/>
    <w:multiLevelType w:val="multilevel"/>
    <w:tmpl w:val="06843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461B7F"/>
    <w:multiLevelType w:val="multilevel"/>
    <w:tmpl w:val="0EF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0C06AE"/>
    <w:multiLevelType w:val="multilevel"/>
    <w:tmpl w:val="DE76F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7F50E4"/>
    <w:multiLevelType w:val="multilevel"/>
    <w:tmpl w:val="ED92A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180FBE"/>
    <w:multiLevelType w:val="multilevel"/>
    <w:tmpl w:val="1B30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555736"/>
    <w:multiLevelType w:val="multilevel"/>
    <w:tmpl w:val="DDFC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C85D38"/>
    <w:multiLevelType w:val="multilevel"/>
    <w:tmpl w:val="FEE2D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F9667E"/>
    <w:multiLevelType w:val="multilevel"/>
    <w:tmpl w:val="73D0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B91B27"/>
    <w:multiLevelType w:val="multilevel"/>
    <w:tmpl w:val="96C6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04552A"/>
    <w:multiLevelType w:val="multilevel"/>
    <w:tmpl w:val="CD6C2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6E289A"/>
    <w:multiLevelType w:val="multilevel"/>
    <w:tmpl w:val="A432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3D1C84"/>
    <w:multiLevelType w:val="multilevel"/>
    <w:tmpl w:val="5ADE6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AD6E3A"/>
    <w:multiLevelType w:val="multilevel"/>
    <w:tmpl w:val="DC22C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AE27F4"/>
    <w:multiLevelType w:val="multilevel"/>
    <w:tmpl w:val="DC34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DF008C"/>
    <w:multiLevelType w:val="multilevel"/>
    <w:tmpl w:val="4728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F954C9"/>
    <w:multiLevelType w:val="hybridMultilevel"/>
    <w:tmpl w:val="F800AD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45A566F"/>
    <w:multiLevelType w:val="multilevel"/>
    <w:tmpl w:val="420C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0E567C"/>
    <w:multiLevelType w:val="multilevel"/>
    <w:tmpl w:val="3E48C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907B63"/>
    <w:multiLevelType w:val="hybridMultilevel"/>
    <w:tmpl w:val="BB682C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78A7700"/>
    <w:multiLevelType w:val="multilevel"/>
    <w:tmpl w:val="0652F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0B49D2"/>
    <w:multiLevelType w:val="hybridMultilevel"/>
    <w:tmpl w:val="6D2A6A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CFA7749"/>
    <w:multiLevelType w:val="hybridMultilevel"/>
    <w:tmpl w:val="D90896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F956F7D"/>
    <w:multiLevelType w:val="multilevel"/>
    <w:tmpl w:val="BB5E8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221185">
    <w:abstractNumId w:val="19"/>
  </w:num>
  <w:num w:numId="2" w16cid:durableId="1056661891">
    <w:abstractNumId w:val="13"/>
  </w:num>
  <w:num w:numId="3" w16cid:durableId="1066991940">
    <w:abstractNumId w:val="24"/>
  </w:num>
  <w:num w:numId="4" w16cid:durableId="1331178919">
    <w:abstractNumId w:val="14"/>
  </w:num>
  <w:num w:numId="5" w16cid:durableId="1351687442">
    <w:abstractNumId w:val="12"/>
  </w:num>
  <w:num w:numId="6" w16cid:durableId="1404449300">
    <w:abstractNumId w:val="26"/>
  </w:num>
  <w:num w:numId="7" w16cid:durableId="147982879">
    <w:abstractNumId w:val="25"/>
  </w:num>
  <w:num w:numId="8" w16cid:durableId="1557474077">
    <w:abstractNumId w:val="9"/>
  </w:num>
  <w:num w:numId="9" w16cid:durableId="1595476645">
    <w:abstractNumId w:val="21"/>
  </w:num>
  <w:num w:numId="10" w16cid:durableId="1634797790">
    <w:abstractNumId w:val="23"/>
  </w:num>
  <w:num w:numId="11" w16cid:durableId="1857840787">
    <w:abstractNumId w:val="20"/>
  </w:num>
  <w:num w:numId="12" w16cid:durableId="1923834163">
    <w:abstractNumId w:val="2"/>
  </w:num>
  <w:num w:numId="13" w16cid:durableId="1933196952">
    <w:abstractNumId w:val="6"/>
  </w:num>
  <w:num w:numId="14" w16cid:durableId="1933736654">
    <w:abstractNumId w:val="17"/>
  </w:num>
  <w:num w:numId="15" w16cid:durableId="1952668980">
    <w:abstractNumId w:val="5"/>
  </w:num>
  <w:num w:numId="16" w16cid:durableId="198201478">
    <w:abstractNumId w:val="1"/>
  </w:num>
  <w:num w:numId="17" w16cid:durableId="2000690413">
    <w:abstractNumId w:val="16"/>
  </w:num>
  <w:num w:numId="18" w16cid:durableId="2011448075">
    <w:abstractNumId w:val="15"/>
  </w:num>
  <w:num w:numId="19" w16cid:durableId="206719011">
    <w:abstractNumId w:val="8"/>
  </w:num>
  <w:num w:numId="20" w16cid:durableId="2106682536">
    <w:abstractNumId w:val="7"/>
  </w:num>
  <w:num w:numId="21" w16cid:durableId="2124182016">
    <w:abstractNumId w:val="11"/>
  </w:num>
  <w:num w:numId="22" w16cid:durableId="231552725">
    <w:abstractNumId w:val="10"/>
  </w:num>
  <w:num w:numId="23" w16cid:durableId="258221556">
    <w:abstractNumId w:val="22"/>
  </w:num>
  <w:num w:numId="24" w16cid:durableId="3872288">
    <w:abstractNumId w:val="0"/>
  </w:num>
  <w:num w:numId="25" w16cid:durableId="418137352">
    <w:abstractNumId w:val="3"/>
  </w:num>
  <w:num w:numId="26" w16cid:durableId="647057724">
    <w:abstractNumId w:val="4"/>
  </w:num>
  <w:num w:numId="27" w16cid:durableId="667444614">
    <w:abstractNumId w:val="18"/>
  </w:num>
  <w:num w:numId="28" w16cid:durableId="6927272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5C4"/>
    <w:rsid w:val="00093B5F"/>
    <w:rsid w:val="000A5E7F"/>
    <w:rsid w:val="000E6A32"/>
    <w:rsid w:val="001017A4"/>
    <w:rsid w:val="00164C5A"/>
    <w:rsid w:val="00193D17"/>
    <w:rsid w:val="002A0806"/>
    <w:rsid w:val="002A09EE"/>
    <w:rsid w:val="002A2211"/>
    <w:rsid w:val="002F3D9C"/>
    <w:rsid w:val="003125A3"/>
    <w:rsid w:val="0035052E"/>
    <w:rsid w:val="00384BAB"/>
    <w:rsid w:val="003B5F2F"/>
    <w:rsid w:val="003C2BB0"/>
    <w:rsid w:val="003E3D9E"/>
    <w:rsid w:val="00403763"/>
    <w:rsid w:val="00451F5A"/>
    <w:rsid w:val="004B7085"/>
    <w:rsid w:val="00532815"/>
    <w:rsid w:val="005409D1"/>
    <w:rsid w:val="005415C4"/>
    <w:rsid w:val="005B6388"/>
    <w:rsid w:val="005D5440"/>
    <w:rsid w:val="0072588D"/>
    <w:rsid w:val="007A2A43"/>
    <w:rsid w:val="007D0ECC"/>
    <w:rsid w:val="007E13F9"/>
    <w:rsid w:val="00873314"/>
    <w:rsid w:val="008F6EFF"/>
    <w:rsid w:val="00962D5C"/>
    <w:rsid w:val="009C54D4"/>
    <w:rsid w:val="00A87FA1"/>
    <w:rsid w:val="00AD173F"/>
    <w:rsid w:val="00B41739"/>
    <w:rsid w:val="00C366DF"/>
    <w:rsid w:val="00CD706A"/>
    <w:rsid w:val="00CF0264"/>
    <w:rsid w:val="00D32860"/>
    <w:rsid w:val="00D36473"/>
    <w:rsid w:val="00D86FB6"/>
    <w:rsid w:val="00DB06CA"/>
    <w:rsid w:val="00E4183B"/>
    <w:rsid w:val="00E51768"/>
    <w:rsid w:val="00E56EFE"/>
    <w:rsid w:val="00ED210C"/>
    <w:rsid w:val="00F0228E"/>
    <w:rsid w:val="00F21A7A"/>
    <w:rsid w:val="00F75D32"/>
    <w:rsid w:val="00FA0B16"/>
    <w:rsid w:val="00FD51AA"/>
    <w:rsid w:val="00FE7382"/>
    <w:rsid w:val="00FE7F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97C6D"/>
  <w15:chartTrackingRefBased/>
  <w15:docId w15:val="{5F2BCD9D-6F98-4E7E-8FA0-A86F05A33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7A4"/>
    <w:pPr>
      <w:keepNext/>
      <w:keepLines/>
      <w:spacing w:before="480" w:after="0" w:line="276" w:lineRule="auto"/>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1017A4"/>
    <w:pPr>
      <w:keepNext/>
      <w:keepLines/>
      <w:spacing w:before="200" w:after="0" w:line="276" w:lineRule="auto"/>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5415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5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5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5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5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5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5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7A4"/>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1017A4"/>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5415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5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5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5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5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5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5C4"/>
    <w:rPr>
      <w:rFonts w:eastAsiaTheme="majorEastAsia" w:cstheme="majorBidi"/>
      <w:color w:val="272727" w:themeColor="text1" w:themeTint="D8"/>
    </w:rPr>
  </w:style>
  <w:style w:type="paragraph" w:styleId="Title">
    <w:name w:val="Title"/>
    <w:basedOn w:val="Normal"/>
    <w:next w:val="Normal"/>
    <w:link w:val="TitleChar"/>
    <w:uiPriority w:val="10"/>
    <w:qFormat/>
    <w:rsid w:val="00541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5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5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5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5C4"/>
    <w:pPr>
      <w:spacing w:before="160"/>
      <w:jc w:val="center"/>
    </w:pPr>
    <w:rPr>
      <w:i/>
      <w:iCs/>
      <w:color w:val="404040" w:themeColor="text1" w:themeTint="BF"/>
    </w:rPr>
  </w:style>
  <w:style w:type="character" w:customStyle="1" w:styleId="QuoteChar">
    <w:name w:val="Quote Char"/>
    <w:basedOn w:val="DefaultParagraphFont"/>
    <w:link w:val="Quote"/>
    <w:uiPriority w:val="29"/>
    <w:rsid w:val="005415C4"/>
    <w:rPr>
      <w:i/>
      <w:iCs/>
      <w:color w:val="404040" w:themeColor="text1" w:themeTint="BF"/>
    </w:rPr>
  </w:style>
  <w:style w:type="paragraph" w:styleId="ListParagraph">
    <w:name w:val="List Paragraph"/>
    <w:basedOn w:val="Normal"/>
    <w:uiPriority w:val="34"/>
    <w:qFormat/>
    <w:rsid w:val="005415C4"/>
    <w:pPr>
      <w:ind w:left="720"/>
      <w:contextualSpacing/>
    </w:pPr>
  </w:style>
  <w:style w:type="character" w:styleId="IntenseEmphasis">
    <w:name w:val="Intense Emphasis"/>
    <w:basedOn w:val="DefaultParagraphFont"/>
    <w:uiPriority w:val="21"/>
    <w:qFormat/>
    <w:rsid w:val="005415C4"/>
    <w:rPr>
      <w:i/>
      <w:iCs/>
      <w:color w:val="0F4761" w:themeColor="accent1" w:themeShade="BF"/>
    </w:rPr>
  </w:style>
  <w:style w:type="paragraph" w:styleId="IntenseQuote">
    <w:name w:val="Intense Quote"/>
    <w:basedOn w:val="Normal"/>
    <w:next w:val="Normal"/>
    <w:link w:val="IntenseQuoteChar"/>
    <w:uiPriority w:val="30"/>
    <w:qFormat/>
    <w:rsid w:val="005415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5C4"/>
    <w:rPr>
      <w:i/>
      <w:iCs/>
      <w:color w:val="0F4761" w:themeColor="accent1" w:themeShade="BF"/>
    </w:rPr>
  </w:style>
  <w:style w:type="character" w:styleId="IntenseReference">
    <w:name w:val="Intense Reference"/>
    <w:basedOn w:val="DefaultParagraphFont"/>
    <w:uiPriority w:val="32"/>
    <w:qFormat/>
    <w:rsid w:val="005415C4"/>
    <w:rPr>
      <w:b/>
      <w:bCs/>
      <w:smallCaps/>
      <w:color w:val="0F4761" w:themeColor="accent1" w:themeShade="BF"/>
      <w:spacing w:val="5"/>
    </w:rPr>
  </w:style>
  <w:style w:type="character" w:styleId="BookTitle">
    <w:name w:val="Book Title"/>
    <w:basedOn w:val="DefaultParagraphFont"/>
    <w:uiPriority w:val="33"/>
    <w:qFormat/>
    <w:rsid w:val="00384BAB"/>
    <w:rPr>
      <w:b/>
      <w:bCs/>
      <w:i/>
      <w:iCs/>
      <w:spacing w:val="5"/>
    </w:rPr>
  </w:style>
  <w:style w:type="paragraph" w:styleId="Caption">
    <w:name w:val="caption"/>
    <w:basedOn w:val="Normal"/>
    <w:next w:val="Normal"/>
    <w:uiPriority w:val="35"/>
    <w:semiHidden/>
    <w:unhideWhenUsed/>
    <w:qFormat/>
    <w:rsid w:val="00384BAB"/>
    <w:pPr>
      <w:spacing w:after="200" w:line="240" w:lineRule="auto"/>
    </w:pPr>
    <w:rPr>
      <w:i/>
      <w:iCs/>
      <w:color w:val="0E2841" w:themeColor="text2"/>
      <w:sz w:val="18"/>
      <w:szCs w:val="18"/>
    </w:rPr>
  </w:style>
  <w:style w:type="character" w:styleId="Emphasis">
    <w:name w:val="Emphasis"/>
    <w:basedOn w:val="DefaultParagraphFont"/>
    <w:uiPriority w:val="20"/>
    <w:qFormat/>
    <w:rsid w:val="00384BAB"/>
    <w:rPr>
      <w:i/>
      <w:iCs/>
    </w:rPr>
  </w:style>
  <w:style w:type="paragraph" w:styleId="NoSpacing">
    <w:name w:val="No Spacing"/>
    <w:uiPriority w:val="1"/>
    <w:qFormat/>
    <w:rsid w:val="00384BAB"/>
    <w:pPr>
      <w:spacing w:after="0" w:line="240" w:lineRule="auto"/>
    </w:pPr>
  </w:style>
  <w:style w:type="character" w:styleId="Strong">
    <w:name w:val="Strong"/>
    <w:basedOn w:val="DefaultParagraphFont"/>
    <w:uiPriority w:val="22"/>
    <w:qFormat/>
    <w:rsid w:val="00384BAB"/>
    <w:rPr>
      <w:b/>
      <w:bCs/>
    </w:rPr>
  </w:style>
  <w:style w:type="character" w:styleId="SubtleEmphasis">
    <w:name w:val="Subtle Emphasis"/>
    <w:basedOn w:val="DefaultParagraphFont"/>
    <w:uiPriority w:val="19"/>
    <w:qFormat/>
    <w:rsid w:val="00384BAB"/>
    <w:rPr>
      <w:i/>
      <w:iCs/>
      <w:color w:val="404040" w:themeColor="text1" w:themeTint="BF"/>
    </w:rPr>
  </w:style>
  <w:style w:type="character" w:styleId="SubtleReference">
    <w:name w:val="Subtle Reference"/>
    <w:basedOn w:val="DefaultParagraphFont"/>
    <w:uiPriority w:val="31"/>
    <w:qFormat/>
    <w:rsid w:val="00384BAB"/>
    <w:rPr>
      <w:smallCaps/>
      <w:color w:val="5A5A5A" w:themeColor="text1" w:themeTint="A5"/>
    </w:rPr>
  </w:style>
  <w:style w:type="paragraph" w:styleId="TOCHeading">
    <w:name w:val="TOC Heading"/>
    <w:basedOn w:val="Heading1"/>
    <w:next w:val="Normal"/>
    <w:uiPriority w:val="39"/>
    <w:semiHidden/>
    <w:unhideWhenUsed/>
    <w:qFormat/>
    <w:rsid w:val="00384BAB"/>
    <w:pPr>
      <w:spacing w:before="240" w:line="278" w:lineRule="auto"/>
      <w:outlineLvl w:val="9"/>
    </w:pPr>
    <w:rPr>
      <w:b w:val="0"/>
      <w:bCs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3663A6-F383-49B1-8973-673B7DEB914E}"/>
</file>

<file path=customXml/itemProps2.xml><?xml version="1.0" encoding="utf-8"?>
<ds:datastoreItem xmlns:ds="http://schemas.openxmlformats.org/officeDocument/2006/customXml" ds:itemID="{4740AB7E-A584-4042-A529-49703DF6490B}"/>
</file>

<file path=customXml/itemProps3.xml><?xml version="1.0" encoding="utf-8"?>
<ds:datastoreItem xmlns:ds="http://schemas.openxmlformats.org/officeDocument/2006/customXml" ds:itemID="{EC8A43AA-76D3-451B-AB33-6A4FB9354472}"/>
</file>

<file path=docProps/app.xml><?xml version="1.0" encoding="utf-8"?>
<Properties xmlns="http://schemas.openxmlformats.org/officeDocument/2006/extended-properties" xmlns:vt="http://schemas.openxmlformats.org/officeDocument/2006/docPropsVTypes">
  <Template>Normal.dotm</Template>
  <TotalTime>0</TotalTime>
  <Pages>12</Pages>
  <Words>4444</Words>
  <Characters>25331</Characters>
  <Application>Microsoft Office Word</Application>
  <DocSecurity>4</DocSecurity>
  <Lines>211</Lines>
  <Paragraphs>59</Paragraphs>
  <ScaleCrop>false</ScaleCrop>
  <Company/>
  <LinksUpToDate>false</LinksUpToDate>
  <CharactersWithSpaces>29716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Colditz</dc:creator>
  <cp:keywords/>
  <dc:description/>
  <cp:lastModifiedBy>BROOME, Lily</cp:lastModifiedBy>
  <cp:revision>2</cp:revision>
  <dcterms:created xsi:type="dcterms:W3CDTF">2026-09-02T04:49:00Z</dcterms:created>
  <dcterms:modified xsi:type="dcterms:W3CDTF">2026-09-02T04:49:00Z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