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7920065"/>
        <w:docPartObj>
          <w:docPartGallery w:val="Cover Pages"/>
          <w:docPartUnique/>
        </w:docPartObj>
      </w:sdtPr>
      <w:sdtEndPr>
        <w:rPr>
          <w:rFonts w:ascii="Times New Roman" w:eastAsia="Times New Roman" w:hAnsi="Times New Roman" w:cs="Times New Roman"/>
        </w:rPr>
      </w:sdtEndPr>
      <w:sdtContent>
        <w:p w14:paraId="1722AF5C" w14:textId="17B94B57" w:rsidR="00703A84" w:rsidRDefault="00703A84">
          <w:r>
            <w:rPr>
              <w:noProof/>
            </w:rPr>
            <mc:AlternateContent>
              <mc:Choice Requires="wpg">
                <w:drawing>
                  <wp:anchor distT="0" distB="0" distL="114300" distR="114300" simplePos="0" relativeHeight="251662336" behindDoc="0" locked="0" layoutInCell="1" allowOverlap="1" wp14:anchorId="28AE2B9F" wp14:editId="2FC72D66">
                    <wp:simplePos x="0" y="0"/>
                    <wp:positionH relativeFrom="margin">
                      <wp:posOffset>-685800</wp:posOffset>
                    </wp:positionH>
                    <wp:positionV relativeFrom="page">
                      <wp:posOffset>219075</wp:posOffset>
                    </wp:positionV>
                    <wp:extent cx="7329481" cy="1215390"/>
                    <wp:effectExtent l="0" t="0" r="5080" b="3810"/>
                    <wp:wrapNone/>
                    <wp:docPr id="149" name="Group 157"/>
                    <wp:cNvGraphicFramePr/>
                    <a:graphic xmlns:a="http://schemas.openxmlformats.org/drawingml/2006/main">
                      <a:graphicData uri="http://schemas.microsoft.com/office/word/2010/wordprocessingGroup">
                        <wpg:wgp>
                          <wpg:cNvGrpSpPr/>
                          <wpg:grpSpPr>
                            <a:xfrm>
                              <a:off x="0" y="0"/>
                              <a:ext cx="7329481" cy="1215390"/>
                              <a:chOff x="-14281" y="-1"/>
                              <a:chExt cx="7329481" cy="1216152"/>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14281" y="-1"/>
                                <a:ext cx="7315200" cy="1216152"/>
                              </a:xfrm>
                              <a:prstGeom prst="rect">
                                <a:avLst/>
                              </a:prstGeom>
                              <a:blipFill>
                                <a:blip r:embed="rId7">
                                  <a:duotone>
                                    <a:prstClr val="black"/>
                                    <a:schemeClr val="accent6">
                                      <a:tint val="45000"/>
                                      <a:satMod val="400000"/>
                                    </a:schemeClr>
                                  </a:duotone>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B5D1B4D" id="Group 157" o:spid="_x0000_s1026" style="position:absolute;margin-left:-54pt;margin-top:17.25pt;width:577.1pt;height:95.7pt;z-index:251662336;mso-position-horizontal-relative:margin;mso-position-vertical-relative:page" coordorigin="-142" coordsize="73294,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&#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" path="m,l7312660,r,1129665l3619500,733425,,1091565,,xe" fillcolor="#fde9d9 [665]" stroked="f" strokeweight="2pt">
                      <v:path arrowok="t" o:connecttype="custom" o:connectlocs="0,0;7315200,0;7315200,1130373;3620757,733885;0,1092249;0,0" o:connectangles="0,0,0,0,0,0"/>
                    </v:shape>
                    <v:rect id="Rectangle 151" o:spid="_x0000_s1028" style="position:absolute;left:-142;width:73151;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" stroked="f" strokeweight="2pt">
                      <v:fill r:id="rId8" o:title="" recolor="t" rotate="t" type="frame"/>
                      <v:imagedata recolortarget="black"/>
                    </v:rect>
                    <w10:wrap anchorx="margin" anchory="page"/>
                  </v:group>
                </w:pict>
              </mc:Fallback>
            </mc:AlternateContent>
          </w:r>
        </w:p>
        <w:p w14:paraId="20BE598A" w14:textId="77777777" w:rsidR="00413FFE" w:rsidRDefault="00413FFE"/>
        <w:p w14:paraId="139B3272" w14:textId="2AEF89A9" w:rsidR="00703A84" w:rsidRDefault="00CF296D">
          <w:pPr>
            <w:rPr>
              <w:rFonts w:ascii="Times New Roman" w:eastAsia="Times New Roman" w:hAnsi="Times New Roman" w:cs="Times New Roman"/>
            </w:rPr>
          </w:pPr>
          <w:r w:rsidRPr="00413FFE">
            <w:rPr>
              <w:noProof/>
            </w:rPr>
            <w:drawing>
              <wp:anchor distT="0" distB="0" distL="114300" distR="114300" simplePos="0" relativeHeight="251664384" behindDoc="1" locked="0" layoutInCell="1" allowOverlap="1" wp14:anchorId="18B83AEC" wp14:editId="4280ECFD">
                <wp:simplePos x="0" y="0"/>
                <wp:positionH relativeFrom="margin">
                  <wp:align>right</wp:align>
                </wp:positionH>
                <wp:positionV relativeFrom="paragraph">
                  <wp:posOffset>5210810</wp:posOffset>
                </wp:positionV>
                <wp:extent cx="2576945" cy="2226449"/>
                <wp:effectExtent l="0" t="0" r="0" b="2540"/>
                <wp:wrapNone/>
                <wp:docPr id="1819961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87814" name=""/>
                        <pic:cNvPicPr/>
                      </pic:nvPicPr>
                      <pic:blipFill rotWithShape="1">
                        <a:blip r:embed="rId9">
                          <a:extLst>
                            <a:ext uri="{28A0092B-C50C-407E-A947-70E740481C1C}">
                              <a14:useLocalDpi xmlns:a14="http://schemas.microsoft.com/office/drawing/2010/main" val="0"/>
                            </a:ext>
                          </a:extLst>
                        </a:blip>
                        <a:srcRect l="8104" t="10259"/>
                        <a:stretch>
                          <a:fillRect/>
                        </a:stretch>
                      </pic:blipFill>
                      <pic:spPr bwMode="auto">
                        <a:xfrm>
                          <a:off x="0" y="0"/>
                          <a:ext cx="2576945" cy="22264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00392EDC" wp14:editId="25E33195">
                    <wp:simplePos x="0" y="0"/>
                    <wp:positionH relativeFrom="margin">
                      <wp:align>center</wp:align>
                    </wp:positionH>
                    <wp:positionV relativeFrom="page">
                      <wp:posOffset>2436495</wp:posOffset>
                    </wp:positionV>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A2309" w14:textId="2DDCAF27" w:rsidR="00703A84" w:rsidRDefault="008D53D9" w:rsidP="00703A84">
                                <w:pPr>
                                  <w:jc w:val="right"/>
                                  <w:rPr>
                                    <w:color w:val="4F81BD" w:themeColor="accent1"/>
                                    <w:sz w:val="64"/>
                                    <w:szCs w:val="64"/>
                                  </w:rPr>
                                </w:pPr>
                                <w:sdt>
                                  <w:sdtPr>
                                    <w:rPr>
                                      <w:caps/>
                                      <w:color w:val="F79646" w:themeColor="accent6"/>
                                      <w:sz w:val="56"/>
                                      <w:szCs w:val="5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63DB2">
                                      <w:rPr>
                                        <w:caps/>
                                        <w:color w:val="F79646" w:themeColor="accent6"/>
                                        <w:sz w:val="56"/>
                                        <w:szCs w:val="56"/>
                                      </w:rPr>
                                      <w:t>submission to The second action plan of the national plan to end violence Against women and children</w:t>
                                    </w:r>
                                  </w:sdtContent>
                                </w:sdt>
                              </w:p>
                              <w:sdt>
                                <w:sdtPr>
                                  <w:rPr>
                                    <w:b/>
                                    <w:bCs/>
                                    <w:color w:val="F79646" w:themeColor="accent6"/>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75ECB9E" w14:textId="5D7F7163" w:rsidR="00703A84" w:rsidRPr="00703A84" w:rsidRDefault="00703A84">
                                    <w:pPr>
                                      <w:jc w:val="right"/>
                                      <w:rPr>
                                        <w:b/>
                                        <w:bCs/>
                                        <w:smallCaps/>
                                        <w:color w:val="F79646" w:themeColor="accent6"/>
                                        <w:sz w:val="36"/>
                                        <w:szCs w:val="36"/>
                                      </w:rPr>
                                    </w:pPr>
                                    <w:r w:rsidRPr="00703A84">
                                      <w:rPr>
                                        <w:b/>
                                        <w:bCs/>
                                        <w:color w:val="F79646" w:themeColor="accent6"/>
                                        <w:sz w:val="36"/>
                                        <w:szCs w:val="36"/>
                                      </w:rPr>
                                      <w:t>WHAT WERE YOU WEARING? AUSTRALIA</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00392EDC" id="_x0000_t202" coordsize="21600,21600" o:spt="202" path="m,l,21600r21600,l21600,xe">
                    <v:stroke joinstyle="miter"/>
                    <v:path gradientshapeok="t" o:connecttype="rect"/>
                  </v:shapetype>
                  <v:shape id="Text Box 163" o:spid="_x0000_s1026" type="#_x0000_t202" style="position:absolute;margin-left:0;margin-top:191.85pt;width:8in;height:286.5pt;z-index:251659264;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" filled="f" stroked="f" strokeweight=".5pt">
                    <v:textbox inset="126pt,0,54pt,0">
                      <w:txbxContent>
                        <w:p w14:paraId="2E3A2309" w14:textId="2DDCAF27" w:rsidR="00703A84" w:rsidRDefault="008D53D9" w:rsidP="00703A84">
                          <w:pPr>
                            <w:jc w:val="right"/>
                            <w:rPr>
                              <w:color w:val="4F81BD" w:themeColor="accent1"/>
                              <w:sz w:val="64"/>
                              <w:szCs w:val="64"/>
                            </w:rPr>
                          </w:pPr>
                          <w:sdt>
                            <w:sdtPr>
                              <w:rPr>
                                <w:caps/>
                                <w:color w:val="F79646" w:themeColor="accent6"/>
                                <w:sz w:val="56"/>
                                <w:szCs w:val="56"/>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263DB2">
                                <w:rPr>
                                  <w:caps/>
                                  <w:color w:val="F79646" w:themeColor="accent6"/>
                                  <w:sz w:val="56"/>
                                  <w:szCs w:val="56"/>
                                </w:rPr>
                                <w:t>submission to The second action plan of the national plan to end violence Against women and children</w:t>
                              </w:r>
                            </w:sdtContent>
                          </w:sdt>
                        </w:p>
                        <w:sdt>
                          <w:sdtPr>
                            <w:rPr>
                              <w:b/>
                              <w:bCs/>
                              <w:color w:val="F79646" w:themeColor="accent6"/>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75ECB9E" w14:textId="5D7F7163" w:rsidR="00703A84" w:rsidRPr="00703A84" w:rsidRDefault="00703A84">
                              <w:pPr>
                                <w:jc w:val="right"/>
                                <w:rPr>
                                  <w:b/>
                                  <w:bCs/>
                                  <w:smallCaps/>
                                  <w:color w:val="F79646" w:themeColor="accent6"/>
                                  <w:sz w:val="36"/>
                                  <w:szCs w:val="36"/>
                                </w:rPr>
                              </w:pPr>
                              <w:r w:rsidRPr="00703A84">
                                <w:rPr>
                                  <w:b/>
                                  <w:bCs/>
                                  <w:color w:val="F79646" w:themeColor="accent6"/>
                                  <w:sz w:val="36"/>
                                  <w:szCs w:val="36"/>
                                </w:rPr>
                                <w:t>WHAT WERE YOU WEARING? AUSTRALIA</w:t>
                              </w:r>
                            </w:p>
                          </w:sdtContent>
                        </w:sdt>
                      </w:txbxContent>
                    </v:textbox>
                    <w10:wrap type="square" anchorx="margin" anchory="page"/>
                  </v:shape>
                </w:pict>
              </mc:Fallback>
            </mc:AlternateContent>
          </w:r>
          <w:r w:rsidR="00703A84">
            <w:rPr>
              <w:rFonts w:ascii="Times New Roman" w:eastAsia="Times New Roman" w:hAnsi="Times New Roman" w:cs="Times New Roman"/>
            </w:rPr>
            <w:br w:type="page"/>
          </w:r>
        </w:p>
      </w:sdtContent>
    </w:sdt>
    <w:p w14:paraId="00000002" w14:textId="2C17441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Submission to the National Plan to End Violence against Women and Children — Second Action Plan</w:t>
      </w:r>
    </w:p>
    <w:p w14:paraId="00000003"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What Were You Wearing Australia (WWYW Australia)</w:t>
      </w:r>
    </w:p>
    <w:p w14:paraId="00000004" w14:textId="77777777" w:rsidR="003F666B" w:rsidRPr="006857B2" w:rsidRDefault="003F666B" w:rsidP="00E95D03">
      <w:pPr>
        <w:spacing w:line="276" w:lineRule="auto"/>
        <w:rPr>
          <w:rFonts w:ascii="Times New Roman" w:eastAsia="Times New Roman" w:hAnsi="Times New Roman" w:cs="Times New Roman"/>
        </w:rPr>
      </w:pPr>
    </w:p>
    <w:p w14:paraId="00000005" w14:textId="77777777" w:rsidR="003F666B" w:rsidRPr="006857B2" w:rsidRDefault="008D53D9" w:rsidP="00E95D03">
      <w:pPr>
        <w:spacing w:line="276" w:lineRule="auto"/>
        <w:rPr>
          <w:rFonts w:ascii="Times New Roman" w:eastAsia="Times New Roman" w:hAnsi="Times New Roman" w:cs="Times New Roman"/>
        </w:rPr>
        <w:sectPr w:rsidR="003F666B" w:rsidRPr="006857B2" w:rsidSect="00703A84">
          <w:headerReference w:type="default" r:id="rId10"/>
          <w:footerReference w:type="default" r:id="rId11"/>
          <w:pgSz w:w="12240" w:h="15840"/>
          <w:pgMar w:top="1440" w:right="1440" w:bottom="1440" w:left="1440" w:header="720" w:footer="720" w:gutter="0"/>
          <w:pgNumType w:start="0"/>
          <w:cols w:space="720"/>
          <w:titlePg/>
          <w:docGrid w:linePitch="299"/>
        </w:sectPr>
      </w:pPr>
      <w:r w:rsidRPr="006857B2">
        <w:rPr>
          <w:rFonts w:ascii="Times New Roman" w:eastAsia="Times New Roman" w:hAnsi="Times New Roman" w:cs="Times New Roman"/>
        </w:rPr>
        <w:t>What Were You Wearing Australia (WWYW Australia) is a First Nations-led, ACNC-registered charity working to end sexual violence and support victim-survivors. WWYW holds Deductible Gift Recipient (DGR) status and operates nationally, delivering survivor healing groups, community education and advocacy through staff and volunteers across multiple states. This submission draws on that direct service-delivery experience, including WWYW's work with Aboriginal and Torres Strait Islander people, LGBTQIA+ people, d</w:t>
      </w:r>
      <w:r w:rsidRPr="006857B2">
        <w:rPr>
          <w:rFonts w:ascii="Times New Roman" w:eastAsia="Times New Roman" w:hAnsi="Times New Roman" w:cs="Times New Roman"/>
        </w:rPr>
        <w:t>isabled people and young people, to respond to the consultation questions below.</w:t>
      </w:r>
    </w:p>
    <w:p w14:paraId="2F9B5E0B" w14:textId="0099E229" w:rsidR="00703A84" w:rsidRPr="006857B2" w:rsidRDefault="00703A84" w:rsidP="00E95D03">
      <w:pPr>
        <w:pStyle w:val="Heading1"/>
        <w:pBdr>
          <w:bottom w:val="single" w:sz="4" w:space="0" w:color="4F81BD" w:themeColor="accent1"/>
        </w:pBdr>
        <w:spacing w:line="276" w:lineRule="auto"/>
        <w:rPr>
          <w:rFonts w:ascii="Times New Roman" w:eastAsia="Times New Roman" w:hAnsi="Times New Roman" w:cs="Times New Roman"/>
          <w:b/>
          <w:bCs/>
          <w:color w:val="F79646" w:themeColor="accent6"/>
        </w:rPr>
      </w:pPr>
      <w:bookmarkStart w:id="0" w:name="_i8hx705ofow1" w:colFirst="0" w:colLast="0"/>
      <w:bookmarkEnd w:id="0"/>
      <w:r w:rsidRPr="006857B2">
        <w:rPr>
          <w:rFonts w:ascii="Times New Roman" w:eastAsia="Times New Roman" w:hAnsi="Times New Roman" w:cs="Times New Roman"/>
          <w:b/>
          <w:bCs/>
          <w:color w:val="F79646" w:themeColor="accent6"/>
        </w:rPr>
        <w:lastRenderedPageBreak/>
        <w:t xml:space="preserve">Victim-Survivors </w:t>
      </w:r>
    </w:p>
    <w:p w14:paraId="00000007" w14:textId="5CFB4BE4"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Service and System Responses</w:t>
      </w:r>
    </w:p>
    <w:p w14:paraId="00000008" w14:textId="1E66E989" w:rsidR="003F666B" w:rsidRPr="006857B2" w:rsidRDefault="008D53D9" w:rsidP="00E95D03">
      <w:pPr>
        <w:spacing w:after="0" w:line="276" w:lineRule="auto"/>
        <w:rPr>
          <w:rFonts w:ascii="Times New Roman" w:eastAsia="Times New Roman" w:hAnsi="Times New Roman" w:cs="Times New Roman"/>
        </w:rPr>
      </w:pPr>
      <w:r w:rsidRPr="006857B2">
        <w:rPr>
          <w:rFonts w:ascii="Times New Roman" w:eastAsia="Times New Roman" w:hAnsi="Times New Roman" w:cs="Times New Roman"/>
        </w:rPr>
        <w:t>Victim-survivors experience the greatest improvements in safety, wellbeing</w:t>
      </w:r>
      <w:r w:rsidR="00C76530"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long-term recovery when service systems engage specialists and operate in an integrated, trauma-informed</w:t>
      </w:r>
      <w:r w:rsidR="00C76530"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culturally safe manner. </w:t>
      </w:r>
    </w:p>
    <w:p w14:paraId="00000009"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i/>
          <w:iCs/>
        </w:rPr>
        <w:t xml:space="preserve">“Integrated access and response across police, courts, specialist DFSV services, housing, financial assistance and mental health reduce system fragmentation and improve outcomes for women and children” </w:t>
      </w:r>
      <w:r w:rsidRPr="006857B2">
        <w:rPr>
          <w:rFonts w:ascii="Times New Roman" w:eastAsia="Times New Roman" w:hAnsi="Times New Roman" w:cs="Times New Roman"/>
        </w:rPr>
        <w:t xml:space="preserve">(ANROWS, 2023). </w:t>
      </w:r>
    </w:p>
    <w:p w14:paraId="0000000A" w14:textId="77777777" w:rsidR="003F666B" w:rsidRPr="006857B2" w:rsidRDefault="008D53D9" w:rsidP="00E95D03">
      <w:pPr>
        <w:spacing w:before="240" w:after="0" w:line="276" w:lineRule="auto"/>
        <w:rPr>
          <w:rFonts w:ascii="Times New Roman" w:eastAsia="Times New Roman" w:hAnsi="Times New Roman" w:cs="Times New Roman"/>
          <w:b/>
          <w:bCs/>
          <w:u w:val="single"/>
        </w:rPr>
      </w:pPr>
      <w:r w:rsidRPr="006857B2">
        <w:rPr>
          <w:rFonts w:ascii="Times New Roman" w:eastAsia="Times New Roman" w:hAnsi="Times New Roman" w:cs="Times New Roman"/>
          <w:b/>
          <w:bCs/>
          <w:u w:val="single"/>
        </w:rPr>
        <w:t>Service Integration</w:t>
      </w:r>
    </w:p>
    <w:p w14:paraId="0000000B"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Integrated service pathways are equally essential. Cross‑sector collaboration ensures victim‑survivors do not bear the burden of navigating complex systems alone, particularly when trauma has impaired decision‑making, self‑efficacy and emotional regulation (Herman, 2004; Sullivan et al., 2018). The s‑CAPE study found that fragmented systems and inconsistent care significantly hinder recovery, reinforcing the need for coordinated, multi‑agency responses.</w:t>
      </w:r>
    </w:p>
    <w:p w14:paraId="0000000C" w14:textId="77777777" w:rsidR="003F666B" w:rsidRPr="006857B2" w:rsidRDefault="008D53D9" w:rsidP="00E95D03">
      <w:pPr>
        <w:spacing w:before="240" w:after="0" w:line="276" w:lineRule="auto"/>
        <w:rPr>
          <w:rFonts w:ascii="Times New Roman" w:eastAsia="Times New Roman" w:hAnsi="Times New Roman" w:cs="Times New Roman"/>
          <w:b/>
          <w:bCs/>
          <w:u w:val="single"/>
        </w:rPr>
      </w:pPr>
      <w:r w:rsidRPr="006857B2">
        <w:rPr>
          <w:rFonts w:ascii="Times New Roman" w:eastAsia="Times New Roman" w:hAnsi="Times New Roman" w:cs="Times New Roman"/>
          <w:b/>
          <w:bCs/>
          <w:u w:val="single"/>
        </w:rPr>
        <w:t>Trauma-Informed Care</w:t>
      </w:r>
    </w:p>
    <w:p w14:paraId="0000000D"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Trauma‑informed, victim‑centred practice is central to effective recovery. Services that validate disclosures, minimise retraumatisation, and prioritise safety planning across all touchpoints create conditions where victim‑survivors feel believed and supported. Trauma‑informed care must be relational, strengths‑based and grounded in empathy, with participants in the s-Cape study describing trauma‑informed practice as </w:t>
      </w:r>
      <w:r w:rsidRPr="006857B2">
        <w:rPr>
          <w:rFonts w:ascii="Times New Roman" w:eastAsia="Times New Roman" w:hAnsi="Times New Roman" w:cs="Times New Roman"/>
          <w:i/>
          <w:iCs/>
        </w:rPr>
        <w:t>“really about relationships… having the safety and the ability to be seen and heard”</w:t>
      </w:r>
      <w:r w:rsidRPr="006857B2">
        <w:rPr>
          <w:rFonts w:ascii="Times New Roman" w:eastAsia="Times New Roman" w:hAnsi="Times New Roman" w:cs="Times New Roman"/>
        </w:rPr>
        <w:t xml:space="preserve"> (Davies et al., 2026). This reflects that trauma-informed care is underpinned by tailoring services to the unique needs articulated by each victim-survivor. </w:t>
      </w:r>
    </w:p>
    <w:p w14:paraId="0000000E"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Long‑term recovery supports are critical to trauma-informed care. There is a clear need for sustained counselling, case management, and financial and housing stability beyond crisis periods. The s‑CAPE study found that recovery is </w:t>
      </w:r>
      <w:r w:rsidRPr="006857B2">
        <w:rPr>
          <w:rFonts w:ascii="Times New Roman" w:eastAsia="Times New Roman" w:hAnsi="Times New Roman" w:cs="Times New Roman"/>
          <w:i/>
          <w:iCs/>
        </w:rPr>
        <w:t>“complex, challenging and non‑linear”</w:t>
      </w:r>
      <w:r w:rsidRPr="006857B2">
        <w:rPr>
          <w:rFonts w:ascii="Times New Roman" w:eastAsia="Times New Roman" w:hAnsi="Times New Roman" w:cs="Times New Roman"/>
        </w:rPr>
        <w:t xml:space="preserve"> (Davies et al., 2026, p. 7), requiring ongoing therapeutic, social and practical supports rather than short‑term interventions.</w:t>
      </w:r>
    </w:p>
    <w:p w14:paraId="0000000F" w14:textId="77777777" w:rsidR="003F666B" w:rsidRPr="006857B2" w:rsidRDefault="008D53D9" w:rsidP="00E95D03">
      <w:pPr>
        <w:spacing w:before="240" w:after="0" w:line="276" w:lineRule="auto"/>
        <w:rPr>
          <w:rFonts w:ascii="Times New Roman" w:eastAsia="Times New Roman" w:hAnsi="Times New Roman" w:cs="Times New Roman"/>
          <w:b/>
          <w:bCs/>
          <w:u w:val="single"/>
        </w:rPr>
      </w:pPr>
      <w:r w:rsidRPr="006857B2">
        <w:rPr>
          <w:rFonts w:ascii="Times New Roman" w:eastAsia="Times New Roman" w:hAnsi="Times New Roman" w:cs="Times New Roman"/>
          <w:b/>
          <w:bCs/>
          <w:u w:val="single"/>
        </w:rPr>
        <w:t>Culturally Safe Care</w:t>
      </w:r>
    </w:p>
    <w:p w14:paraId="00000010"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Culturally safe, community‑led services remain vital for Aboriginal and Torres Strait Islander peoples. Community‑controlled organisations and culturally grounded healing approaches are essential to safety and recovery, particularly given the intergenerational trauma and systemic racism that shape experiences of violence (Our Ways – Strong Ways – Our Voices, 2023). The s‑CAPE findings reinforce that culturally relevant, inclusive and holistic care is necessary to ensure safety and engagement. </w:t>
      </w:r>
    </w:p>
    <w:p w14:paraId="00000011"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WWYW has collected over 3,000 stories from Aboriginal and Torres Strait Islander survivors, many of whom have expressed a lack of access to dedicated healing spaces. These stories reveal a deep need for support </w:t>
      </w:r>
      <w:r w:rsidRPr="006857B2">
        <w:rPr>
          <w:rFonts w:ascii="Times New Roman" w:eastAsia="Times New Roman" w:hAnsi="Times New Roman" w:cs="Times New Roman"/>
        </w:rPr>
        <w:lastRenderedPageBreak/>
        <w:t>groups that are led by Aboriginal and Torres Strait Islander facilitators, accompanied by Elders, and grounded in culturally safe protocols.</w:t>
      </w:r>
    </w:p>
    <w:p w14:paraId="00000012" w14:textId="77777777" w:rsidR="003F666B" w:rsidRPr="006857B2" w:rsidRDefault="003F666B" w:rsidP="00E95D03">
      <w:pPr>
        <w:spacing w:before="240" w:after="0" w:line="276" w:lineRule="auto"/>
        <w:rPr>
          <w:rFonts w:ascii="Times New Roman" w:eastAsia="Times New Roman" w:hAnsi="Times New Roman" w:cs="Times New Roman"/>
        </w:rPr>
      </w:pPr>
    </w:p>
    <w:p w14:paraId="00000013" w14:textId="77777777" w:rsidR="003F666B" w:rsidRPr="006857B2" w:rsidRDefault="008D53D9" w:rsidP="00E95D03">
      <w:pPr>
        <w:spacing w:after="0" w:line="276" w:lineRule="auto"/>
        <w:rPr>
          <w:rFonts w:ascii="Times New Roman" w:eastAsia="Times New Roman" w:hAnsi="Times New Roman" w:cs="Times New Roman"/>
          <w:color w:val="F79646" w:themeColor="accent6"/>
          <w:sz w:val="28"/>
          <w:szCs w:val="28"/>
        </w:rPr>
      </w:pPr>
      <w:r w:rsidRPr="006857B2">
        <w:rPr>
          <w:rFonts w:ascii="Times New Roman" w:eastAsia="Times New Roman" w:hAnsi="Times New Roman" w:cs="Times New Roman"/>
          <w:b/>
          <w:bCs/>
          <w:u w:val="single"/>
        </w:rPr>
        <w:t xml:space="preserve">Specialist Services </w:t>
      </w:r>
    </w:p>
    <w:p w14:paraId="00000014"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Specialist responses to coercive control and technology‑facilitated abuse are increasingly urgent. The Australian Institute of Criminology (2023) identifies spyware, GPS tracking, smart‑device manipulation and image‑based abuse as rapidly expanding forms of harm. These behaviours are often invisible to frontline responders, requiring specialised capability within police, courts and support services.</w:t>
      </w:r>
    </w:p>
    <w:p w14:paraId="00000015" w14:textId="5B01B71B"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Finally, women‑only services are a critical component of effective recovery. The s‑CAPE study demonstrates that gender‑specific, trauma‑focused environments significantly enhance safety, emotional regulation</w:t>
      </w:r>
      <w:r w:rsidR="00A26910"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engagement. Participants emphasised that being in a women‑only space, for example during in-patient programs, was essential because many had experienced male‑perpetrated violence. Gender‑specific care options are crucial to reduce fear, hypervigilance</w:t>
      </w:r>
      <w:r w:rsidR="007C0657"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retraumatisation in participants (Davies et al., 2026). </w:t>
      </w:r>
    </w:p>
    <w:p w14:paraId="00000016" w14:textId="77777777" w:rsidR="003F666B" w:rsidRPr="006857B2" w:rsidRDefault="008D53D9" w:rsidP="00E95D03">
      <w:pPr>
        <w:pStyle w:val="Heading2"/>
        <w:spacing w:line="276" w:lineRule="auto"/>
        <w:rPr>
          <w:rFonts w:ascii="Times New Roman" w:eastAsia="Times New Roman" w:hAnsi="Times New Roman" w:cs="Times New Roman"/>
        </w:rPr>
      </w:pPr>
      <w:r w:rsidRPr="006857B2">
        <w:rPr>
          <w:rFonts w:ascii="Times New Roman" w:eastAsia="Times New Roman" w:hAnsi="Times New Roman" w:cs="Times New Roman"/>
          <w:color w:val="F79646" w:themeColor="accent6"/>
        </w:rPr>
        <w:t>Access to and Barriers to Care</w:t>
      </w:r>
    </w:p>
    <w:p w14:paraId="00000017" w14:textId="5CED19A1"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Victim‑survivors seek support earlier when information is clear, visible</w:t>
      </w:r>
      <w:r w:rsidR="007C0657"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trustworthy. These circumstances exist where victim-survivors, as well as the general public, have access to information and services. Conversely, significant barriers to care arise due to victim-blaming, retraumatisation, and a lack of funding to frontline services. </w:t>
      </w:r>
    </w:p>
    <w:p w14:paraId="00000018" w14:textId="1E7107D1"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Early recognition of DFSV and reductions in self-blame are seen when public education explains coercive control, technology‑facilitated abuse and </w:t>
      </w:r>
      <w:r w:rsidR="007C0657" w:rsidRPr="006857B2">
        <w:rPr>
          <w:rFonts w:ascii="Times New Roman" w:eastAsia="Times New Roman" w:hAnsi="Times New Roman" w:cs="Times New Roman"/>
        </w:rPr>
        <w:t xml:space="preserve">the </w:t>
      </w:r>
      <w:r w:rsidRPr="006857B2">
        <w:rPr>
          <w:rFonts w:ascii="Times New Roman" w:eastAsia="Times New Roman" w:hAnsi="Times New Roman" w:cs="Times New Roman"/>
        </w:rPr>
        <w:t>available supports. Early access is also strengthened when first points of contact—such as GPs, schools, Centrelink, workplaces and community organisations—are trained to respond in non‑judgmental and supportive ways. The s‑CAPE study found that many victim‑survivors had previously been dismissed, invalidated or misdiagnosed, which significantly delayed help‑seeking (Davies et al., 2026).</w:t>
      </w:r>
    </w:p>
    <w:p w14:paraId="00000019"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Accessibility plays a critical role. Services that offer flexible hours, outreach models, online or phone‑based options, and free or low‑cost support reduce practical barriers. Community‑led prevention initiatives, particularly in First Nations communities, improve trust and relevance by ensuring support is grounded in cultural knowledge and community leadership.</w:t>
      </w:r>
    </w:p>
    <w:p w14:paraId="0000001A" w14:textId="0799C355"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Despite these enablers, significant barriers continue to prevent victim‑survivors from seeking help. Fear of not being believed or being blamed remains pervasive </w:t>
      </w:r>
      <w:r w:rsidR="00FA0ADD" w:rsidRPr="006857B2">
        <w:rPr>
          <w:rFonts w:ascii="Times New Roman" w:eastAsia="Times New Roman" w:hAnsi="Times New Roman" w:cs="Times New Roman"/>
        </w:rPr>
        <w:t xml:space="preserve">and is </w:t>
      </w:r>
      <w:r w:rsidRPr="006857B2">
        <w:rPr>
          <w:rFonts w:ascii="Times New Roman" w:eastAsia="Times New Roman" w:hAnsi="Times New Roman" w:cs="Times New Roman"/>
        </w:rPr>
        <w:t>reinforced by widespread mistrust in women’s reports of sexual assault. The s‑CAPE study similarly found that many participants had been told their trauma was “not real,” “exaggerated,” or “attention‑seeking,” contributing to shame, self‑blame and withdrawal from services (Davies et al., 2026).</w:t>
      </w:r>
    </w:p>
    <w:p w14:paraId="0000001B"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System‑based harms also deter engagement. Negative experiences with police or courts, particularly incident‑based approaches that overlook patterns of coercive control, discourage future help‑seeking. Structural barriers such as poverty, insecure housing, visa status, racism, disability‑related barriers and digital </w:t>
      </w:r>
      <w:r w:rsidRPr="006857B2">
        <w:rPr>
          <w:rFonts w:ascii="Times New Roman" w:eastAsia="Times New Roman" w:hAnsi="Times New Roman" w:cs="Times New Roman"/>
        </w:rPr>
        <w:lastRenderedPageBreak/>
        <w:t>exclusion further limit access to safety. Geographic isolation compounds these challenges, with remote communities facing limited service availability and infrastructure gaps.</w:t>
      </w:r>
    </w:p>
    <w:p w14:paraId="0000001C" w14:textId="45709AF9"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The s‑CAPE study reinforces that mental health system barriers, including long waitlists, high costs, limited trauma‑informed practitioners</w:t>
      </w:r>
      <w:r w:rsidR="00670A7E" w:rsidRPr="006857B2">
        <w:rPr>
          <w:rFonts w:ascii="Times New Roman" w:eastAsia="Times New Roman" w:hAnsi="Times New Roman" w:cs="Times New Roman"/>
        </w:rPr>
        <w:t>,</w:t>
      </w:r>
      <w:r w:rsidRPr="006857B2">
        <w:rPr>
          <w:rFonts w:ascii="Times New Roman" w:eastAsia="Times New Roman" w:hAnsi="Times New Roman" w:cs="Times New Roman"/>
        </w:rPr>
        <w:t xml:space="preserve"> and fragmented services, significantly impede early access. Participants described the system as “very fragmented” and noted that those most in need often have the least access (Davies et al., 2026; Dawadi et al., 2024).</w:t>
      </w:r>
    </w:p>
    <w:p w14:paraId="0000001D"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Current and Emerging Issues</w:t>
      </w:r>
    </w:p>
    <w:p w14:paraId="0000001E"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address child‑specific pathways to safety and recovery. Children experience coercive control and technology‑facilitated abuse both directly and indirectly, and their digital wellbeing, trauma recovery, and access to specialised support require dedicated attention.</w:t>
      </w:r>
    </w:p>
    <w:p w14:paraId="0000001F"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Coercive control is increasingly recognised as the core pattern of harm in domestic and family violence, and the Second Action Plan must prioritise a shift from incident‑based responses to assessments that recognise patterns of behaviour over time (ANROWS, 2023). The s‑CAPE study demonstrates that coercive control profoundly shapes trauma symptoms, identity, emotional regulation and recovery, reinforcing the need for systemic recognition of its impacts (Davies et al., 2026).</w:t>
      </w:r>
    </w:p>
    <w:p w14:paraId="00000020"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Technology‑facilitated abuse is rapidly evolving and must be treated as a central issue. The Australian Institute of Criminology identifies spyware, GPS tracking, smart‑home device manipulation, image‑based abuse, online harassment and impersonation as increasingly common forms of harm. These behaviours are often invisible to frontline responders, meaning victim‑survivors may not receive appropriate protection or justice. As technology-facilitated abuse continues to rapidly evolve alongside the development </w:t>
      </w:r>
      <w:r w:rsidRPr="006857B2">
        <w:rPr>
          <w:rFonts w:ascii="Times New Roman" w:eastAsia="Times New Roman" w:hAnsi="Times New Roman" w:cs="Times New Roman"/>
        </w:rPr>
        <w:t>of technology, investments should be made to ensure research and data gathering in this area remains up to date.</w:t>
      </w:r>
    </w:p>
    <w:p w14:paraId="00000021"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The s‑CAPE findings further highlight the need for trauma‑and‑violence‑informed mental health services, noting that retraumatisation, misdiagnosis and harmful practices remain common in Australian systems (Davies et al., 2026). Policy reform must therefore strengthen trauma‑informed implementation, workforce capability and service integration.</w:t>
      </w:r>
    </w:p>
    <w:p w14:paraId="00000022" w14:textId="77777777" w:rsidR="003F666B" w:rsidRPr="006857B2" w:rsidRDefault="008D53D9" w:rsidP="00E95D03">
      <w:pPr>
        <w:pStyle w:val="Heading2"/>
        <w:spacing w:line="276" w:lineRule="auto"/>
        <w:rPr>
          <w:rFonts w:ascii="Times New Roman" w:eastAsia="Times New Roman" w:hAnsi="Times New Roman" w:cs="Times New Roman"/>
        </w:rPr>
      </w:pPr>
      <w:r w:rsidRPr="006857B2">
        <w:rPr>
          <w:rFonts w:ascii="Times New Roman" w:eastAsia="Times New Roman" w:hAnsi="Times New Roman" w:cs="Times New Roman"/>
          <w:color w:val="F79646" w:themeColor="accent6"/>
        </w:rPr>
        <w:t>Needs of Diverse Communities</w:t>
      </w:r>
    </w:p>
    <w:p w14:paraId="00000023"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Services and policy are currently designed around a ‘default’ victim-survivor; a non-Indigenous, English-speaking, able-bodied, heterosexual, and non-rural/regional individual. Accordingly, every group that falls outside this ‘default’ faces a gap in services and experiences compounding barriers.</w:t>
      </w:r>
    </w:p>
    <w:p w14:paraId="00000024"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t>Persistent gaps remain in meeting the needs of diverse communities, particularly Aboriginal and Torres Strait Islander peoples. The Aboriginal and Torres Strait Islander Action Plan and the Our Ways – Strong Ways – Our Voices framework emphasise the need for self‑determination and community leadership, noting that First Nations organisations must lead design, delivery and evaluation of DFV responses. Culturally grounded healing approaches that address intergenerational trauma, colonisation and systemic raci</w:t>
      </w:r>
      <w:r w:rsidRPr="006857B2">
        <w:rPr>
          <w:rFonts w:ascii="Times New Roman" w:eastAsia="Times New Roman" w:hAnsi="Times New Roman" w:cs="Times New Roman"/>
        </w:rPr>
        <w:t>sm are essential, yet current investment in community‑controlled services remains insufficient.</w:t>
      </w:r>
    </w:p>
    <w:p w14:paraId="00000025" w14:textId="77777777" w:rsidR="003F666B" w:rsidRPr="006857B2" w:rsidRDefault="008D53D9" w:rsidP="00E95D03">
      <w:pPr>
        <w:spacing w:before="240" w:after="0"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Improved Indigenous Data Sovereignty is also critical. Strengthening community control over data collection, interpretation and use ensures that evidence reflects lived realities and supports culturally appropriate policy development. As part of this there should be increased inclusion of data on young people’s experiences, which is too often absent.</w:t>
      </w:r>
    </w:p>
    <w:p w14:paraId="00000026" w14:textId="77777777" w:rsidR="003F666B" w:rsidRPr="006857B2" w:rsidRDefault="008D53D9" w:rsidP="00E95D03">
      <w:pPr>
        <w:spacing w:before="240" w:after="240" w:line="276" w:lineRule="auto"/>
        <w:rPr>
          <w:rFonts w:ascii="Times New Roman" w:eastAsia="Times New Roman" w:hAnsi="Times New Roman" w:cs="Times New Roman"/>
        </w:rPr>
      </w:pPr>
      <w:r w:rsidRPr="006857B2">
        <w:rPr>
          <w:rFonts w:ascii="Times New Roman" w:eastAsia="Times New Roman" w:hAnsi="Times New Roman" w:cs="Times New Roman"/>
        </w:rPr>
        <w:t>Beyond First Nations communities, significant gaps remain for migrant and refugee women, who often face visa insecurity, language barriers and fear of authorities. Women with disabilities experience higher rates of violence and encounter systemic inaccessibility across police, courts and support services. LGBTIQ+ communities continue to face stigma and limited specialist services, which restrict safe pathways to support. Regional and remote communities experience service shortages, digital exclusion and geo</w:t>
      </w:r>
      <w:r w:rsidRPr="006857B2">
        <w:rPr>
          <w:rFonts w:ascii="Times New Roman" w:eastAsia="Times New Roman" w:hAnsi="Times New Roman" w:cs="Times New Roman"/>
        </w:rPr>
        <w:t>graphic isolation, all of which heighten risk and reduce access to safety.</w:t>
      </w:r>
    </w:p>
    <w:p w14:paraId="00000027" w14:textId="25FEF426" w:rsidR="003F666B" w:rsidRPr="006857B2" w:rsidRDefault="008D53D9" w:rsidP="00E95D03">
      <w:pPr>
        <w:spacing w:before="240" w:after="240"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The s‑CAPE study reinforces that trauma‑informed, gender‑specific and culturally relevant services are not widely available, and that systemic inequities significantly impede access for marginalised groups (Davies et al., 2026). Participants emphasised the need for </w:t>
      </w:r>
      <w:r w:rsidR="004650D3" w:rsidRPr="006857B2">
        <w:rPr>
          <w:rFonts w:ascii="Times New Roman" w:eastAsia="Times New Roman" w:hAnsi="Times New Roman" w:cs="Times New Roman"/>
        </w:rPr>
        <w:t>publicly funded</w:t>
      </w:r>
      <w:r w:rsidRPr="006857B2">
        <w:rPr>
          <w:rFonts w:ascii="Times New Roman" w:eastAsia="Times New Roman" w:hAnsi="Times New Roman" w:cs="Times New Roman"/>
        </w:rPr>
        <w:t xml:space="preserve"> </w:t>
      </w:r>
      <w:r w:rsidR="004650D3" w:rsidRPr="006857B2">
        <w:rPr>
          <w:rFonts w:ascii="Times New Roman" w:eastAsia="Times New Roman" w:hAnsi="Times New Roman" w:cs="Times New Roman"/>
        </w:rPr>
        <w:t xml:space="preserve">and </w:t>
      </w:r>
      <w:r w:rsidRPr="006857B2">
        <w:rPr>
          <w:rFonts w:ascii="Times New Roman" w:eastAsia="Times New Roman" w:hAnsi="Times New Roman" w:cs="Times New Roman"/>
        </w:rPr>
        <w:t>accessible trauma‑focused services across Australia.</w:t>
      </w:r>
    </w:p>
    <w:p w14:paraId="00000028" w14:textId="77777777" w:rsidR="003F666B" w:rsidRPr="006857B2" w:rsidRDefault="003F666B" w:rsidP="00E95D03">
      <w:pPr>
        <w:spacing w:line="276" w:lineRule="auto"/>
        <w:rPr>
          <w:rFonts w:ascii="Times New Roman" w:eastAsia="Times New Roman" w:hAnsi="Times New Roman" w:cs="Times New Roman"/>
        </w:rPr>
        <w:sectPr w:rsidR="003F666B" w:rsidRPr="006857B2" w:rsidSect="007F1B7D">
          <w:pgSz w:w="12240" w:h="15840"/>
          <w:pgMar w:top="1440" w:right="1440" w:bottom="1440" w:left="1440" w:header="720" w:footer="720" w:gutter="0"/>
          <w:cols w:space="720"/>
        </w:sectPr>
      </w:pPr>
    </w:p>
    <w:p w14:paraId="60476E5F" w14:textId="790BBFAF" w:rsidR="00F3717F" w:rsidRPr="006857B2" w:rsidRDefault="00F3717F" w:rsidP="00E95D03">
      <w:pPr>
        <w:pStyle w:val="Heading1"/>
        <w:spacing w:line="276" w:lineRule="auto"/>
        <w:rPr>
          <w:rFonts w:ascii="Times New Roman" w:eastAsia="Times New Roman" w:hAnsi="Times New Roman" w:cs="Times New Roman"/>
          <w:b/>
          <w:bCs/>
        </w:rPr>
      </w:pPr>
      <w:bookmarkStart w:id="1" w:name="_gbk9ar9bdyny" w:colFirst="0" w:colLast="0"/>
      <w:bookmarkEnd w:id="1"/>
      <w:r w:rsidRPr="006857B2">
        <w:rPr>
          <w:rFonts w:ascii="Times New Roman" w:eastAsia="Times New Roman" w:hAnsi="Times New Roman" w:cs="Times New Roman"/>
          <w:b/>
          <w:bCs/>
          <w:color w:val="F79646" w:themeColor="accent6"/>
        </w:rPr>
        <w:lastRenderedPageBreak/>
        <w:t>Prevention and Early Intervention</w:t>
      </w:r>
    </w:p>
    <w:p w14:paraId="0000002A" w14:textId="69B5032B"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Preventing and Ending Violence</w:t>
      </w:r>
    </w:p>
    <w:p w14:paraId="0000002C" w14:textId="3B87861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biggest differences to prevent</w:t>
      </w:r>
      <w:r w:rsidR="00590ED5" w:rsidRPr="006857B2">
        <w:rPr>
          <w:rFonts w:ascii="Times New Roman" w:eastAsia="Times New Roman" w:hAnsi="Times New Roman" w:cs="Times New Roman"/>
        </w:rPr>
        <w:t>ing</w:t>
      </w:r>
      <w:r w:rsidRPr="006857B2">
        <w:rPr>
          <w:rFonts w:ascii="Times New Roman" w:eastAsia="Times New Roman" w:hAnsi="Times New Roman" w:cs="Times New Roman"/>
        </w:rPr>
        <w:t xml:space="preserve"> and ending violence will arise from female empowerment. Such empowerment should involve genuine partnership with women during policy development and the empowerment of a diverse range of voices through funding. </w:t>
      </w:r>
    </w:p>
    <w:p w14:paraId="0000002E" w14:textId="485B3343"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Women’s empowerment is known to help reduce the occurrence of domestic violence. Ultimately DFSV arises from gender roles and uneven power distributions between men and women (Mshweshwe, 2020). In order to</w:t>
      </w:r>
      <w:r w:rsidRPr="006857B2">
        <w:rPr>
          <w:rFonts w:ascii="Times New Roman" w:eastAsia="Times New Roman" w:hAnsi="Times New Roman" w:cs="Times New Roman"/>
        </w:rPr>
        <w:t xml:space="preserve"> challenge this the voices of women must drive all policy and law development, without this policy and lawmaking replicates the power imbalances driving violence. Through centering women's voices in law and policy development the power imbalances which cause violence are undermined, moving toward full </w:t>
      </w:r>
      <w:r w:rsidR="00AA774B" w:rsidRPr="006857B2">
        <w:rPr>
          <w:rFonts w:ascii="Times New Roman" w:eastAsia="Times New Roman" w:hAnsi="Times New Roman" w:cs="Times New Roman"/>
        </w:rPr>
        <w:t xml:space="preserve">system </w:t>
      </w:r>
      <w:r w:rsidRPr="006857B2">
        <w:rPr>
          <w:rFonts w:ascii="Times New Roman" w:eastAsia="Times New Roman" w:hAnsi="Times New Roman" w:cs="Times New Roman"/>
        </w:rPr>
        <w:t xml:space="preserve">dismantling and </w:t>
      </w:r>
      <w:r w:rsidR="00AA774B" w:rsidRPr="006857B2">
        <w:rPr>
          <w:rFonts w:ascii="Times New Roman" w:eastAsia="Times New Roman" w:hAnsi="Times New Roman" w:cs="Times New Roman"/>
        </w:rPr>
        <w:t xml:space="preserve">the </w:t>
      </w:r>
      <w:r w:rsidRPr="006857B2">
        <w:rPr>
          <w:rFonts w:ascii="Times New Roman" w:eastAsia="Times New Roman" w:hAnsi="Times New Roman" w:cs="Times New Roman"/>
        </w:rPr>
        <w:t xml:space="preserve">ending of violence. The inclusion of women's voices must be genuine in every conversation, not a tokenistic occurrence. The best prevention of and ending DFSV will occur when we eliminate the power differentials existing between sexes, with the first step being centering women's voices. </w:t>
      </w:r>
    </w:p>
    <w:p w14:paraId="00000030" w14:textId="07F437C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inclusion of women’s voices should involve collaboration between law and policy makers and a diverse range of women. First Nations women, women living with disabilities, LGBTQIA+ identified women, migrant and refugee women, young or older women, and women from other diverse communities all experience DFSV differently, and bring unique insights to preventing and ending violence. In including such a diverse range of women, the biggest difference arises from genuine and continued funding. Communities and o</w:t>
      </w:r>
      <w:r w:rsidRPr="006857B2">
        <w:rPr>
          <w:rFonts w:ascii="Times New Roman" w:eastAsia="Times New Roman" w:hAnsi="Times New Roman" w:cs="Times New Roman"/>
        </w:rPr>
        <w:t>rganisations of women should be adequately funded to facilitate their inclusion in conversations and their responses to violence.</w:t>
      </w:r>
    </w:p>
    <w:p w14:paraId="00000031"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Strengthening Existing Efforts</w:t>
      </w:r>
    </w:p>
    <w:p w14:paraId="00000033" w14:textId="1B30CA6B"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The introduction of affirmative consent education in schools is celebrated and welcomed. This education should be expanded to general </w:t>
      </w:r>
      <w:r w:rsidR="001130F2" w:rsidRPr="006857B2">
        <w:rPr>
          <w:rFonts w:ascii="Times New Roman" w:eastAsia="Times New Roman" w:hAnsi="Times New Roman" w:cs="Times New Roman"/>
        </w:rPr>
        <w:t>age-appropriate</w:t>
      </w:r>
      <w:r w:rsidRPr="006857B2">
        <w:rPr>
          <w:rFonts w:ascii="Times New Roman" w:eastAsia="Times New Roman" w:hAnsi="Times New Roman" w:cs="Times New Roman"/>
        </w:rPr>
        <w:t xml:space="preserve"> DFSV education, to ensure prevention is occurring early and effectively. </w:t>
      </w:r>
    </w:p>
    <w:p w14:paraId="00000035" w14:textId="4269E83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School years are where many world beliefs are formulated and solidified, meaning harmful stereotypes during this period may be difficult to challenge later on</w:t>
      </w:r>
      <w:r w:rsidRPr="006857B2">
        <w:rPr>
          <w:rFonts w:ascii="Times New Roman" w:eastAsia="Times New Roman" w:hAnsi="Times New Roman" w:cs="Times New Roman"/>
        </w:rPr>
        <w:t xml:space="preserve">. Further, we know 1 in 6 women and 1 in 9 men in Australia experienced physical and/or sexual abuse before the age of 15, demonstrating the need for education to ensure children are aware of unacceptable behaviours and response avenues (Australian Institute of Health and Welfare, 2022). As many young people are not taught how to recognise domestic, family and sexual violence in real life contexts while they are in </w:t>
      </w:r>
      <w:r w:rsidR="004650D3" w:rsidRPr="006857B2">
        <w:rPr>
          <w:rFonts w:ascii="Times New Roman" w:eastAsia="Times New Roman" w:hAnsi="Times New Roman" w:cs="Times New Roman"/>
        </w:rPr>
        <w:t>school,</w:t>
      </w:r>
      <w:r w:rsidRPr="006857B2">
        <w:rPr>
          <w:rFonts w:ascii="Times New Roman" w:eastAsia="Times New Roman" w:hAnsi="Times New Roman" w:cs="Times New Roman"/>
        </w:rPr>
        <w:t xml:space="preserve"> they do not identify abuse in their own lives or the lives of others until adulthood, delaying help-seeking, support and healing. </w:t>
      </w:r>
    </w:p>
    <w:p w14:paraId="00000036"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Existing school programs do not explicitly or consistently equip students with the knowledge to understand coercion, abuse or how to respond safely. If a young person cannot name what is happening to them, they cannot recognise it, report it or seek help. This gap leaves young people vulnerable, increases the risk of harm and contributes to ongoing cycles of violence and victim-blaming.</w:t>
      </w:r>
    </w:p>
    <w:p w14:paraId="71608B29" w14:textId="77777777" w:rsidR="00A61D6E" w:rsidRPr="006857B2" w:rsidRDefault="00A61D6E" w:rsidP="00E95D03">
      <w:pPr>
        <w:spacing w:line="276" w:lineRule="auto"/>
        <w:rPr>
          <w:rFonts w:ascii="Times New Roman" w:eastAsia="Times New Roman" w:hAnsi="Times New Roman" w:cs="Times New Roman"/>
        </w:rPr>
      </w:pPr>
    </w:p>
    <w:p w14:paraId="47050AEB" w14:textId="77777777" w:rsidR="00A61D6E" w:rsidRPr="006857B2" w:rsidRDefault="00A61D6E" w:rsidP="00E95D03">
      <w:pPr>
        <w:spacing w:line="276" w:lineRule="auto"/>
        <w:rPr>
          <w:rFonts w:ascii="Times New Roman" w:eastAsia="Times New Roman" w:hAnsi="Times New Roman" w:cs="Times New Roman"/>
        </w:rPr>
      </w:pPr>
    </w:p>
    <w:p w14:paraId="0000003B"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lastRenderedPageBreak/>
        <w:t>Recognising and Responding to Harmful Attitudes/Behaviours</w:t>
      </w:r>
    </w:p>
    <w:p w14:paraId="0000003D" w14:textId="4E085D5D"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To effectively recognise and respond to harmful attitudes and behaviours victim blaming attitudes must be challenged, clear education programs implemented, and increased funding be provided to response services.</w:t>
      </w:r>
    </w:p>
    <w:p w14:paraId="0000003F" w14:textId="695DC98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All aspects of society must challenge victim-blaming attitudes and support the empowerment of women. Research has indicated that approaches involving the empowerment of women can reduce the occurrence of domestic violence (Kiani et al., 2021). On the other hand, victim-blaming is utilised to uphold societal power differences between women and men (Ali &amp; Majdoubi</w:t>
      </w:r>
      <w:r w:rsidRPr="006857B2">
        <w:rPr>
          <w:rFonts w:ascii="Times New Roman" w:eastAsia="Times New Roman" w:hAnsi="Times New Roman" w:cs="Times New Roman"/>
        </w:rPr>
        <w:t>, 2024). Accordingly, all recognition of and responses to harmful attitudes and behaviours should centre around breaking down the patriarchal systems that permit the occurrence of domestic, sexual and family violence (‘DFSV’). As part of this, the voices of young women, in particular victim-survivors, must be centred. This should not occur through inclusion alone, but genuine collaboration between young women and the government to address the DFSV epidemic and harmful attitudes and behaviours contributing t</w:t>
      </w:r>
      <w:r w:rsidRPr="006857B2">
        <w:rPr>
          <w:rFonts w:ascii="Times New Roman" w:eastAsia="Times New Roman" w:hAnsi="Times New Roman" w:cs="Times New Roman"/>
        </w:rPr>
        <w:t>o it. Such collaboration may occur through communities creating spaces for young women to discuss harmful attitudes, or online platforms asking young women about harmful behaviours they have encountered.</w:t>
      </w:r>
    </w:p>
    <w:p w14:paraId="00000041" w14:textId="6CB7FC7A"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In addition to the above, education and training should be standardised</w:t>
      </w:r>
      <w:r w:rsidRPr="006857B2">
        <w:rPr>
          <w:rFonts w:ascii="Times New Roman" w:eastAsia="Times New Roman" w:hAnsi="Times New Roman" w:cs="Times New Roman"/>
        </w:rPr>
        <w:t xml:space="preserve"> and implemented throughout governments, communities, schools, workplaces and online platforms. Age and context appropriate education empowers individuals to recognise DFSV and respond in a safe and effective manner. Education also acts as a prevention technique, undermining harmful attitudes and behaviours through challenging stereotypes surrounding DFSV. Those in specialist or frontline roles should undergo mandatory DFSV training to ensure they have capacity to respond effectively when faced with DFSV sc</w:t>
      </w:r>
      <w:r w:rsidRPr="006857B2">
        <w:rPr>
          <w:rFonts w:ascii="Times New Roman" w:eastAsia="Times New Roman" w:hAnsi="Times New Roman" w:cs="Times New Roman"/>
        </w:rPr>
        <w:t xml:space="preserve">enarios. </w:t>
      </w:r>
    </w:p>
    <w:p w14:paraId="00000043" w14:textId="2C6B6EE1"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Finally, funding is crucial to ensure adequate responses to harmful attitudes and behaviours. Empowerment and education programs cannot operate without effective and ongoing funding. Similarly, frontline services will be unable to effectively implement training techniques should their services remain underfunded (Safe and Equal, 2025). Funding should be provided for specific, </w:t>
      </w:r>
      <w:r w:rsidR="00AD0EB2" w:rsidRPr="006857B2">
        <w:rPr>
          <w:rFonts w:ascii="Times New Roman" w:eastAsia="Times New Roman" w:hAnsi="Times New Roman" w:cs="Times New Roman"/>
        </w:rPr>
        <w:t>outcomes-focused</w:t>
      </w:r>
      <w:r w:rsidRPr="006857B2">
        <w:rPr>
          <w:rFonts w:ascii="Times New Roman" w:eastAsia="Times New Roman" w:hAnsi="Times New Roman" w:cs="Times New Roman"/>
        </w:rPr>
        <w:t xml:space="preserve"> services that help ensure all individuals in society, but particularly frontline services, feel readily available to recognise and respond to DFSV.</w:t>
      </w:r>
    </w:p>
    <w:p w14:paraId="00000044" w14:textId="77777777" w:rsidR="003F666B" w:rsidRPr="006857B2" w:rsidRDefault="008D53D9" w:rsidP="00E95D03">
      <w:pPr>
        <w:spacing w:line="276" w:lineRule="auto"/>
        <w:rPr>
          <w:rFonts w:ascii="Times New Roman" w:eastAsia="Times New Roman" w:hAnsi="Times New Roman" w:cs="Times New Roman"/>
          <w:color w:val="F79646" w:themeColor="accent6"/>
          <w:sz w:val="28"/>
          <w:szCs w:val="28"/>
        </w:rPr>
      </w:pPr>
      <w:r w:rsidRPr="006857B2">
        <w:rPr>
          <w:rFonts w:ascii="Times New Roman" w:eastAsia="Times New Roman" w:hAnsi="Times New Roman" w:cs="Times New Roman"/>
          <w:color w:val="F79646" w:themeColor="accent6"/>
          <w:sz w:val="28"/>
          <w:szCs w:val="28"/>
        </w:rPr>
        <w:t>Emerging Issues</w:t>
      </w:r>
    </w:p>
    <w:p w14:paraId="00000046" w14:textId="70D372C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Early intervention and prevention are complementary processes. Policies should aim to prevent violence all </w:t>
      </w:r>
      <w:r w:rsidR="00E262EA" w:rsidRPr="006857B2">
        <w:rPr>
          <w:rFonts w:ascii="Times New Roman" w:eastAsia="Times New Roman" w:hAnsi="Times New Roman" w:cs="Times New Roman"/>
        </w:rPr>
        <w:t>together but</w:t>
      </w:r>
      <w:r w:rsidRPr="006857B2">
        <w:rPr>
          <w:rFonts w:ascii="Times New Roman" w:eastAsia="Times New Roman" w:hAnsi="Times New Roman" w:cs="Times New Roman"/>
        </w:rPr>
        <w:t xml:space="preserve"> </w:t>
      </w:r>
      <w:r w:rsidR="00E262EA" w:rsidRPr="006857B2">
        <w:rPr>
          <w:rFonts w:ascii="Times New Roman" w:eastAsia="Times New Roman" w:hAnsi="Times New Roman" w:cs="Times New Roman"/>
        </w:rPr>
        <w:t xml:space="preserve">also </w:t>
      </w:r>
      <w:r w:rsidRPr="006857B2">
        <w:rPr>
          <w:rFonts w:ascii="Times New Roman" w:eastAsia="Times New Roman" w:hAnsi="Times New Roman" w:cs="Times New Roman"/>
        </w:rPr>
        <w:t xml:space="preserve">ensure thorough preparation to intervene should violence occur. This is seen in technology-facilitated abuse, in which education campaigns and regulation of online platforms should aim to eliminate the potential of abuse, but systems should be implemented to ensure users and platforms can identify and adequately respond to instances of abuse. </w:t>
      </w:r>
    </w:p>
    <w:p w14:paraId="00000048" w14:textId="490CFC6F"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A rapidly developing issue is technology facilitated abuse, in particular the use of AI for sexual abuse. Social media and rapidly developing technology means children, and the community at large, are experiencing new challenges daily regarding technology facilitated abuse. In particular, law and policy responses are struggling to keep up with these developments. Technology facilitated abuse is a multifaceted issue that involves tracking and monitoring of victim-survivors as well as the creation and sharing</w:t>
      </w:r>
      <w:r w:rsidRPr="006857B2">
        <w:rPr>
          <w:rFonts w:ascii="Times New Roman" w:eastAsia="Times New Roman" w:hAnsi="Times New Roman" w:cs="Times New Roman"/>
        </w:rPr>
        <w:t xml:space="preserve"> of non-consensual sexually explicit material. Primarily, such behaviours must be regulated by clear and explicit legislative regimes </w:t>
      </w:r>
      <w:r w:rsidRPr="006857B2">
        <w:rPr>
          <w:rFonts w:ascii="Times New Roman" w:eastAsia="Times New Roman" w:hAnsi="Times New Roman" w:cs="Times New Roman"/>
        </w:rPr>
        <w:t xml:space="preserve">in order to ensure accountability of perpetrators. Clear legislative regimes and accountability can also aid as a primary </w:t>
      </w:r>
      <w:r w:rsidRPr="006857B2">
        <w:rPr>
          <w:rFonts w:ascii="Times New Roman" w:eastAsia="Times New Roman" w:hAnsi="Times New Roman" w:cs="Times New Roman"/>
        </w:rPr>
        <w:lastRenderedPageBreak/>
        <w:t xml:space="preserve">prevention tool to deter such behaviours. Further, education campaigns, particularly with children, should occur to help individuals develop safe online behaviour and skills. </w:t>
      </w:r>
    </w:p>
    <w:p w14:paraId="00000049"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rapid development and use of AI is particularly concerning. A recent study found one in twenty-five children aged 16-18 experienced or had a friend experience AI online child sexual victimisation</w:t>
      </w:r>
      <w:r w:rsidRPr="006857B2">
        <w:rPr>
          <w:rFonts w:ascii="Times New Roman" w:eastAsia="Times New Roman" w:hAnsi="Times New Roman" w:cs="Times New Roman"/>
        </w:rPr>
        <w:t xml:space="preserve">. Owners of AI systems must be strictly regulated and monitored to ensure they are removing the potential of sexual abuse content from being developed. Such regulation should involve content moderation requirements, mandatory reporting, liability for platforms where abusive content is generated, and restrictions on the ability to develop abusive content. In addition to this, the law must be developed to ensure individuals involved in the creation of such material are held to account. </w:t>
      </w:r>
    </w:p>
    <w:p w14:paraId="0000004A" w14:textId="77777777" w:rsidR="003F666B" w:rsidRPr="006857B2" w:rsidRDefault="003F666B" w:rsidP="00E95D03">
      <w:pPr>
        <w:spacing w:line="276" w:lineRule="auto"/>
        <w:rPr>
          <w:rFonts w:ascii="Times New Roman" w:eastAsia="Times New Roman" w:hAnsi="Times New Roman" w:cs="Times New Roman"/>
        </w:rPr>
        <w:sectPr w:rsidR="003F666B" w:rsidRPr="006857B2" w:rsidSect="00363C87">
          <w:pgSz w:w="12240" w:h="15840"/>
          <w:pgMar w:top="1440" w:right="1440" w:bottom="1440" w:left="1440" w:header="720" w:footer="720" w:gutter="0"/>
          <w:cols w:space="720"/>
        </w:sectPr>
      </w:pPr>
    </w:p>
    <w:p w14:paraId="084E7871" w14:textId="0747BE31" w:rsidR="00875FDA" w:rsidRPr="006857B2" w:rsidRDefault="00875FDA" w:rsidP="00E95D03">
      <w:pPr>
        <w:pStyle w:val="Heading1"/>
        <w:spacing w:line="276" w:lineRule="auto"/>
        <w:rPr>
          <w:rFonts w:ascii="Times New Roman" w:eastAsia="Times New Roman" w:hAnsi="Times New Roman" w:cs="Times New Roman"/>
          <w:b/>
          <w:bCs/>
        </w:rPr>
      </w:pPr>
      <w:bookmarkStart w:id="2" w:name="_54f4ihs3gtyz" w:colFirst="0" w:colLast="0"/>
      <w:bookmarkEnd w:id="2"/>
      <w:r w:rsidRPr="006857B2">
        <w:rPr>
          <w:rFonts w:ascii="Times New Roman" w:eastAsia="Times New Roman" w:hAnsi="Times New Roman" w:cs="Times New Roman"/>
          <w:b/>
          <w:bCs/>
          <w:color w:val="F79646" w:themeColor="accent6"/>
        </w:rPr>
        <w:lastRenderedPageBreak/>
        <w:t>Children and Young People in Their Own Right</w:t>
      </w:r>
    </w:p>
    <w:p w14:paraId="0000004C" w14:textId="73330B89"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 xml:space="preserve">Safety, Recovery and Wellbeing Outcomes </w:t>
      </w:r>
    </w:p>
    <w:p w14:paraId="0000004E" w14:textId="4D25E7C9"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single biggest difference to improve the safety, recovery and wellbeing outcomes for children and young people is treating children as victim-survivors with independent recovery needs from their guardians. This includes earlier access, trained frontline workers and co-designed services. Children and young people must be recognised as victim-survivors in their own right, with their own safety, recovery and support needs. While this principle is recognised in the National Plan, the Second Action Plan shou</w:t>
      </w:r>
      <w:r w:rsidRPr="006857B2">
        <w:rPr>
          <w:rFonts w:ascii="Times New Roman" w:eastAsia="Times New Roman" w:hAnsi="Times New Roman" w:cs="Times New Roman"/>
        </w:rPr>
        <w:t>ld ensure it is consistently reflected across education, health, justice and child protection systems.</w:t>
      </w:r>
    </w:p>
    <w:p w14:paraId="0000004F"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u w:val="single"/>
        </w:rPr>
        <w:t xml:space="preserve">Access to Support </w:t>
      </w:r>
    </w:p>
    <w:p w14:paraId="00000051" w14:textId="6B352ED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In ensuring children and young people's independent recovery needs are recognised, the greatest improvements would come from earlier access to specialist, trauma-informed support. Such access means support comes without unnecessary barriers, there is a nationally consistent response regardless of where a young person lives, and long-term investments in recovery rather than crisis intervention alone. </w:t>
      </w:r>
    </w:p>
    <w:p w14:paraId="00000053" w14:textId="7251D95F"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Service access is currently dependent on a young person's location, with rural and regional areas being underfunded and having scarce resources (Osuagwu &amp; Vines, 2025). These access issues frequently mean services for safety, recovery and wellbeing cannot be accessed without significant, and often implausible, travel (Jones et al., 2025). Nationally consistent responses should be implemented to ensure children and young people are safe, can recover, and have access to wellbeing services regardless of their </w:t>
      </w:r>
      <w:r w:rsidRPr="006857B2">
        <w:rPr>
          <w:rFonts w:ascii="Times New Roman" w:eastAsia="Times New Roman" w:hAnsi="Times New Roman" w:cs="Times New Roman"/>
        </w:rPr>
        <w:t xml:space="preserve">location. </w:t>
      </w:r>
    </w:p>
    <w:p w14:paraId="00000055" w14:textId="77C1DDA1"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Experiencing violence can have profound long-term impacts on the wellbeing of children and young people (Gregory et al., 2019). Despite this, research and funding of long-term recovery services has been limited (Satyen et al., 2025). Crisis intervention is essential, however support must not fade with the crisis. Rather, support services must evolve with an individual's journey following violence to ensure the differing safety, recovery and wellbeing needs of children and young people are satisfied. This sh</w:t>
      </w:r>
      <w:r w:rsidRPr="006857B2">
        <w:rPr>
          <w:rFonts w:ascii="Times New Roman" w:eastAsia="Times New Roman" w:hAnsi="Times New Roman" w:cs="Times New Roman"/>
        </w:rPr>
        <w:t>ould include continuing mental health support, stable housing, educational continuity and culturally safe services.</w:t>
      </w:r>
    </w:p>
    <w:p w14:paraId="00000056"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u w:val="single"/>
        </w:rPr>
        <w:t xml:space="preserve">Trauma-Informed Adults </w:t>
      </w:r>
    </w:p>
    <w:p w14:paraId="00000058" w14:textId="6360696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Children and young people should also be supported by adults who understand trauma and respond appropriately. Across disciplines adult professionals report they feel underprepared to identify and respond to children and young people experiencing violence (King, 2024). In the medical profession Dr Simonis reports doctors “don’t…on the whole feel confident” in identifying family violence warning signs, similarly teachers report they “don’t feel adequately prepared” (King, 2024). Regarding police response, thi</w:t>
      </w:r>
      <w:r w:rsidRPr="006857B2">
        <w:rPr>
          <w:rFonts w:ascii="Times New Roman" w:eastAsia="Times New Roman" w:hAnsi="Times New Roman" w:cs="Times New Roman"/>
        </w:rPr>
        <w:t xml:space="preserve">s influences a victim-survivors decision to engage with reporting processes and influences community willingness to involve police (Humphries et al., 2024). </w:t>
      </w:r>
    </w:p>
    <w:p w14:paraId="00000059" w14:textId="4239F6E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Mandatory training for teachers, healthcare workers, police and frontline professionals would improve preparedness for the early identification of violence. Similarly, ensuring these individuals understand why and how to act in a trauma-informed manner will help reduce the risk of retraumatisation.</w:t>
      </w:r>
    </w:p>
    <w:p w14:paraId="0000005E"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Investment in Youth Organisations </w:t>
      </w:r>
    </w:p>
    <w:p w14:paraId="00000060" w14:textId="5791959C"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Finally, governments should invest in trusted youth-focused organisations and ensure recovery services are designed alongside young people, recognising them as experts in their own experiences. There is no ‘typical’ response or playbook that will ensure safety, recovery, and wellbeing for children and young people, rather services must “listen to them, to understand them, and to ask them what they need to be safe” (Dimopoulos, 2024). Investing in youth-focused organisations helps ensure young people are lis</w:t>
      </w:r>
      <w:r w:rsidRPr="006857B2">
        <w:rPr>
          <w:rFonts w:ascii="Times New Roman" w:eastAsia="Times New Roman" w:hAnsi="Times New Roman" w:cs="Times New Roman"/>
        </w:rPr>
        <w:t xml:space="preserve">tened to and accurately understood. Importantly, such investments should involve collaboration with youth-focused </w:t>
      </w:r>
      <w:r w:rsidRPr="006857B2">
        <w:rPr>
          <w:rFonts w:ascii="Times New Roman" w:eastAsia="Times New Roman" w:hAnsi="Times New Roman" w:cs="Times New Roman"/>
        </w:rPr>
        <w:t>organisations empowering them to make change in their own right, not merely making recommendations.</w:t>
      </w:r>
    </w:p>
    <w:p w14:paraId="00000061"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 xml:space="preserve">Recognition and Responses </w:t>
      </w:r>
    </w:p>
    <w:p w14:paraId="00000063" w14:textId="5C315275"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biggest improvements to recognition of harm of children and young people and subsequent responses will arise from adult-facing sectors being equipped to notice and respond to a variety of harm signals. Recognising violence requires more than waiting for children and young people to disclose abuse. Many communicate harm through changes in behaviour, attendance, mental health or relationships long before they tell someone what has happened.</w:t>
      </w:r>
    </w:p>
    <w:p w14:paraId="00000065" w14:textId="122979C6"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As established above, professionals do not feel adequately equipped to identify and respond to signs of abuse. WWYW reiterates that Governments should introduce nationally consistent, trauma-informed training for professionals working with children and young people. Schools should be equipped to identify early warning signs, respond safely and connect students with specialist support.</w:t>
      </w:r>
    </w:p>
    <w:p w14:paraId="00000067" w14:textId="72A80FE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Families and communities also need better access to education about healthy relationships, consent, online safety and recognising indicators of trauma. Such education will help support boundary respect and communication and undermine stereotypical and dangerous preconceptions regarding relationships (Laha, 2025). Public awareness campaigns should encourage adults to believe young people when they disclose violence and respond without blame or judgement. Currently research on such campaigns is limited, howev</w:t>
      </w:r>
      <w:r w:rsidRPr="006857B2">
        <w:rPr>
          <w:rFonts w:ascii="Times New Roman" w:eastAsia="Times New Roman" w:hAnsi="Times New Roman" w:cs="Times New Roman"/>
        </w:rPr>
        <w:t xml:space="preserve">er </w:t>
      </w:r>
      <w:r w:rsidRPr="006857B2">
        <w:rPr>
          <w:rFonts w:ascii="Times New Roman" w:eastAsia="Times New Roman" w:hAnsi="Times New Roman" w:cs="Times New Roman"/>
        </w:rPr>
        <w:t>general public awareness campaign principles of specific objectives, considering target group and relevant tactics, and implementing a clear evaluation plan can be adopted (TAP Network, 2019).</w:t>
      </w:r>
    </w:p>
    <w:p w14:paraId="0000006A" w14:textId="4982F0D6"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Responses should prioritise trust, safety and early intervention, ensuring children and young</w:t>
      </w:r>
      <w:r w:rsidR="00F9272E" w:rsidRPr="006857B2">
        <w:rPr>
          <w:rFonts w:ascii="Times New Roman" w:eastAsia="Times New Roman" w:hAnsi="Times New Roman" w:cs="Times New Roman"/>
        </w:rPr>
        <w:t xml:space="preserve"> </w:t>
      </w:r>
      <w:r w:rsidRPr="006857B2">
        <w:rPr>
          <w:rFonts w:ascii="Times New Roman" w:eastAsia="Times New Roman" w:hAnsi="Times New Roman" w:cs="Times New Roman"/>
        </w:rPr>
        <w:t xml:space="preserve">people receive support before harm escalates. Importantly, early responses to violence must be accessible. As discussed above, services are frequently inaccessible to young people for a variety of reasons, resulting in a failure to intervene early. When implementing responses aiming to identify and address harm toward young people before escalation policy makers must consider the flexibility of programs, including timing, accessibility and location (McCarry et al., 2021). </w:t>
      </w:r>
    </w:p>
    <w:p w14:paraId="0000006B" w14:textId="77777777" w:rsidR="003F666B" w:rsidRPr="006857B2" w:rsidRDefault="008D53D9" w:rsidP="00E95D03">
      <w:pPr>
        <w:spacing w:line="276" w:lineRule="auto"/>
        <w:rPr>
          <w:rFonts w:ascii="Times New Roman" w:eastAsia="Times New Roman" w:hAnsi="Times New Roman" w:cs="Times New Roman"/>
          <w:color w:val="F79646" w:themeColor="accent6"/>
          <w:sz w:val="28"/>
          <w:szCs w:val="28"/>
        </w:rPr>
      </w:pPr>
      <w:r w:rsidRPr="006857B2">
        <w:rPr>
          <w:rFonts w:ascii="Times New Roman" w:eastAsia="Times New Roman" w:hAnsi="Times New Roman" w:cs="Times New Roman"/>
          <w:color w:val="F79646" w:themeColor="accent6"/>
          <w:sz w:val="28"/>
          <w:szCs w:val="28"/>
        </w:rPr>
        <w:t xml:space="preserve">Children and Young People Using Violence </w:t>
      </w:r>
    </w:p>
    <w:p w14:paraId="0000006D" w14:textId="379BCBCB"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Children and young people using violence or displaying harmful sexual behaviours should be held accountable while receiving early, evidence-based support to address the attitudes and experiences contributing to their behaviour.</w:t>
      </w:r>
    </w:p>
    <w:p w14:paraId="0000006E"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Intervention should focus on respectful relationships, consent, healthy masculinities, emotional regulation and empathy, while challenging harmful gender stereotypes and entitlement. Many young people displaying these behaviours have experienced trauma themselves, with links established between trauma symptomology and anger symptoms (Malvaso et al., 2022). This means early intervention to young people's experiences of trauma critical to preventing future violence (Ogilvie et al., 2022). </w:t>
      </w:r>
    </w:p>
    <w:p w14:paraId="0000006F" w14:textId="77777777" w:rsidR="003F666B" w:rsidRPr="006857B2" w:rsidRDefault="003F666B" w:rsidP="00E95D03">
      <w:pPr>
        <w:spacing w:line="276" w:lineRule="auto"/>
        <w:rPr>
          <w:rFonts w:ascii="Times New Roman" w:eastAsia="Times New Roman" w:hAnsi="Times New Roman" w:cs="Times New Roman"/>
        </w:rPr>
      </w:pPr>
    </w:p>
    <w:p w14:paraId="00000071" w14:textId="553CA241"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Governments should invest in specialist adolescent behaviour change programs rather than relying solely on justice responses. The overuse of the criminal justice system for young offenders risks redirecting resources from welfare supports, and increases stigma rather than behaviour change (Baidawi and Sheehan, 2019). Rather, programs which enhance relational and emotional development aid behaviour change in young people using violence (Baidawi</w:t>
      </w:r>
      <w:r w:rsidRPr="006857B2">
        <w:rPr>
          <w:rFonts w:ascii="Times New Roman" w:eastAsia="Times New Roman" w:hAnsi="Times New Roman" w:cs="Times New Roman"/>
        </w:rPr>
        <w:t xml:space="preserve"> and Sheehan, 2019). Schools, families and community organisations also need clear guidance to identify concerning behaviours early and respond consistently. </w:t>
      </w:r>
    </w:p>
    <w:p w14:paraId="00000073" w14:textId="2AF35CD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It is important to recognise that although trauma is an explanatory factor it does not excuse the use of violence. Accountability must remain central throughout these interventions, with the safety and wellbeing of victim-survivors always the primary consideration. The enhancement of healthy emotional coping and relational awareness should guide young people to recognise violence as unacceptable. </w:t>
      </w:r>
    </w:p>
    <w:p w14:paraId="00000074" w14:textId="77777777" w:rsidR="003F666B" w:rsidRPr="006857B2" w:rsidRDefault="008D53D9" w:rsidP="00E95D03">
      <w:pPr>
        <w:spacing w:line="276" w:lineRule="auto"/>
        <w:rPr>
          <w:rFonts w:ascii="Times New Roman" w:eastAsia="Times New Roman" w:hAnsi="Times New Roman" w:cs="Times New Roman"/>
          <w:color w:val="F79646" w:themeColor="accent6"/>
          <w:sz w:val="28"/>
          <w:szCs w:val="28"/>
        </w:rPr>
      </w:pPr>
      <w:r w:rsidRPr="006857B2">
        <w:rPr>
          <w:rFonts w:ascii="Times New Roman" w:eastAsia="Times New Roman" w:hAnsi="Times New Roman" w:cs="Times New Roman"/>
          <w:color w:val="F79646" w:themeColor="accent6"/>
          <w:sz w:val="28"/>
          <w:szCs w:val="28"/>
        </w:rPr>
        <w:t xml:space="preserve">Emerging Forms of Harm </w:t>
      </w:r>
    </w:p>
    <w:p w14:paraId="00000076" w14:textId="77E6F9C3"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Technology-facilitated abuse is now a routine part of many young people’s experiences of violence. The Second Action Plan should recognise online abuse, image-based abuse, digital coercive control, AI-generated intimate imagery and online misogyny as core forms of gender-based violence rather than emerging issues.</w:t>
      </w:r>
    </w:p>
    <w:p w14:paraId="00000078" w14:textId="09D628C6"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Governments should strengthen age-appropriate digital literacy, consent and respectful relationships education from an early age, reflecting how young people communicate and form relationships today (Medhora, 2025). Greater accountability is also needed for technology platforms to improve reporting mechanisms, remove harmful content more quickly and reduce exposure to misogynistic material. Accountability will arise from a clear, nationalised</w:t>
      </w:r>
      <w:r w:rsidRPr="006857B2">
        <w:rPr>
          <w:rFonts w:ascii="Times New Roman" w:eastAsia="Times New Roman" w:hAnsi="Times New Roman" w:cs="Times New Roman"/>
        </w:rPr>
        <w:t xml:space="preserve"> regulatory system that ensures technology platforms are responsible for monitoring, actioning, and removing abusive content. </w:t>
      </w:r>
    </w:p>
    <w:p w14:paraId="0000007A" w14:textId="730892C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Action Plan should also place greater emphasis on violence within adolescent dating relationships, recognising that coercive control and sexual violence often begin well before adulthood and require earlier prevention efforts.</w:t>
      </w:r>
    </w:p>
    <w:p w14:paraId="0000007B" w14:textId="77777777" w:rsidR="003F666B" w:rsidRPr="006857B2" w:rsidRDefault="008D53D9" w:rsidP="00E95D03">
      <w:pPr>
        <w:spacing w:line="276" w:lineRule="auto"/>
        <w:rPr>
          <w:rFonts w:ascii="Times New Roman" w:eastAsia="Times New Roman" w:hAnsi="Times New Roman" w:cs="Times New Roman"/>
          <w:color w:val="F79646" w:themeColor="accent6"/>
          <w:sz w:val="28"/>
          <w:szCs w:val="28"/>
        </w:rPr>
      </w:pPr>
      <w:r w:rsidRPr="006857B2">
        <w:rPr>
          <w:rFonts w:ascii="Times New Roman" w:eastAsia="Times New Roman" w:hAnsi="Times New Roman" w:cs="Times New Roman"/>
          <w:color w:val="F79646" w:themeColor="accent6"/>
          <w:sz w:val="28"/>
          <w:szCs w:val="28"/>
        </w:rPr>
        <w:t xml:space="preserve">Meaningful Involvement </w:t>
      </w:r>
    </w:p>
    <w:p w14:paraId="0000007D" w14:textId="00E31389"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Children and young people should be recognised as partners in designing the policies and services that affect them, not simply consulted after decisions have been made. Governments should establish permanent youth advisory mechanisms that include diverse lived experience and provide genuine influence over policy development, implementation and evaluation.</w:t>
      </w:r>
    </w:p>
    <w:p w14:paraId="0000007F" w14:textId="64653F3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Young people should be fairly remunerated</w:t>
      </w:r>
      <w:r w:rsidRPr="006857B2">
        <w:rPr>
          <w:rFonts w:ascii="Times New Roman" w:eastAsia="Times New Roman" w:hAnsi="Times New Roman" w:cs="Times New Roman"/>
        </w:rPr>
        <w:t xml:space="preserve">, supported through trauma-informed practices and shown how their contributions have influenced decisions. Remuneration is crucial to demonstrate the value of children and young people's contribution, as true partners in policy development and demonstrates their inclusion is not merely tokenistic </w:t>
      </w:r>
    </w:p>
    <w:p w14:paraId="00000081" w14:textId="227115F6"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rPr>
        <w:t>Participation must intentionally include Aboriginal and Torres Strait Islander young people, culturally and linguistically diverse communities, LGBTQIA+ young people, young people with disability and those living in regional and remote Australia. Long-term investment in youth-led organisations and peer-led initiatives will help ensure services remain relevant, accessible and trusted by the communities they are designed to support.</w:t>
      </w:r>
    </w:p>
    <w:p w14:paraId="00000082"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u w:val="single"/>
        </w:rPr>
        <w:t>Centring Aboriginal and Torres Strait Islander Youth Voices</w:t>
      </w:r>
    </w:p>
    <w:p w14:paraId="00000084" w14:textId="676431C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WWYW recommends that the Second Action Plan place</w:t>
      </w:r>
      <w:r w:rsidRPr="006857B2">
        <w:rPr>
          <w:rFonts w:ascii="Times New Roman" w:eastAsia="Times New Roman" w:hAnsi="Times New Roman" w:cs="Times New Roman"/>
        </w:rPr>
        <w:t xml:space="preserve"> Aboriginal and Torres Strait Islander young people's voices, leadership and lived experience at the centre of policy design, resourcing and program delivery — not as an addendum to a broader national response, but as a starting point for it. Young First Nations people experience domestic, family and sexual violence, coercive control and technology-facilitated abuse within a distinct context of intergenerational trauma, colonisation and systemic racism, and their perspectives on what safety and healing look</w:t>
      </w:r>
      <w:r w:rsidRPr="006857B2">
        <w:rPr>
          <w:rFonts w:ascii="Times New Roman" w:eastAsia="Times New Roman" w:hAnsi="Times New Roman" w:cs="Times New Roman"/>
        </w:rPr>
        <w:t xml:space="preserve"> like are frequently absent from national policy processes that are designed for adult and non-Indigenous populations.</w:t>
      </w:r>
    </w:p>
    <w:p w14:paraId="00000085" w14:textId="77777777" w:rsidR="003F666B" w:rsidRPr="006857B2" w:rsidRDefault="008D53D9" w:rsidP="00E95D03">
      <w:pPr>
        <w:spacing w:line="276" w:lineRule="auto"/>
        <w:rPr>
          <w:rFonts w:ascii="Times New Roman" w:eastAsia="Times New Roman" w:hAnsi="Times New Roman" w:cs="Times New Roman"/>
        </w:rPr>
        <w:sectPr w:rsidR="003F666B" w:rsidRPr="006857B2" w:rsidSect="007F1B7D">
          <w:headerReference w:type="default" r:id="rId12"/>
          <w:pgSz w:w="12240" w:h="15840"/>
          <w:pgMar w:top="1440" w:right="1440" w:bottom="1440" w:left="1440" w:header="720" w:footer="720" w:gutter="0"/>
          <w:cols w:space="720"/>
        </w:sectPr>
      </w:pPr>
      <w:r w:rsidRPr="006857B2">
        <w:rPr>
          <w:rFonts w:ascii="Times New Roman" w:eastAsia="Times New Roman" w:hAnsi="Times New Roman" w:cs="Times New Roman"/>
        </w:rPr>
        <w:t>The Aboriginal and Torres Strait Islander Action Plan and the Our Ways – Strong Ways – Our Voices framework are clear that self-determination and community leadership must guide the design, delivery and evaluation of DFV responses. WWYW's submission extends this principle to youth specifically: Aboriginal and Torres Strait Islander young people should be resourced as advisors, co-designers and, where appropriate, service deliverers, rather than consulted after program design is already complete.</w:t>
      </w:r>
    </w:p>
    <w:p w14:paraId="6BE9415B" w14:textId="28029125" w:rsidR="0053000B" w:rsidRPr="006857B2" w:rsidRDefault="0053000B" w:rsidP="00E95D03">
      <w:pPr>
        <w:pStyle w:val="Heading1"/>
        <w:spacing w:line="276" w:lineRule="auto"/>
        <w:rPr>
          <w:rFonts w:ascii="Times New Roman" w:eastAsia="Times New Roman" w:hAnsi="Times New Roman" w:cs="Times New Roman"/>
          <w:b/>
          <w:bCs/>
          <w:color w:val="F79646" w:themeColor="accent6"/>
        </w:rPr>
      </w:pPr>
      <w:bookmarkStart w:id="3" w:name="_zbspymexv398" w:colFirst="0" w:colLast="0"/>
      <w:bookmarkEnd w:id="3"/>
      <w:r w:rsidRPr="006857B2">
        <w:rPr>
          <w:rFonts w:ascii="Times New Roman" w:eastAsia="Times New Roman" w:hAnsi="Times New Roman" w:cs="Times New Roman"/>
          <w:b/>
          <w:bCs/>
          <w:color w:val="F79646" w:themeColor="accent6"/>
        </w:rPr>
        <w:lastRenderedPageBreak/>
        <w:t>People Who Use Violence</w:t>
      </w:r>
    </w:p>
    <w:p w14:paraId="00000087" w14:textId="501FB82C"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 xml:space="preserve">Responding Earlier to Use of Violence </w:t>
      </w:r>
    </w:p>
    <w:p w14:paraId="00000089" w14:textId="6236B12A"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The biggest difference in prevention and responses to people who use violence will result from education programs. Implementing early, age appropriate education on safe relationships, consent, Domestic Sexual and Family Violence (DFSV) including coercive control, beginning in primary school prevents the occurrence of violence, responds to those currently using violence, and equips others with skills to identify violent behaviour. </w:t>
      </w:r>
    </w:p>
    <w:p w14:paraId="0000008B" w14:textId="39D602D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Education programs should surround, where appropriate, online safety, including AI generated abuse material, and equipping children and young people with tools to identify harmful behaviours. This should continue throughout schooling, building upon age appropriate</w:t>
      </w:r>
      <w:r w:rsidRPr="006857B2">
        <w:rPr>
          <w:rFonts w:ascii="Times New Roman" w:eastAsia="Times New Roman" w:hAnsi="Times New Roman" w:cs="Times New Roman"/>
        </w:rPr>
        <w:t xml:space="preserve"> discussions such as safe sex and consent in relationships. Intersectionality should underpin all education, with considerations of how First Nations peoples, people from non-English speaking backgrounds, refugees and migrants, people living with disabilities are at a greater risk of experiencing DFSV. </w:t>
      </w:r>
    </w:p>
    <w:p w14:paraId="0000008D" w14:textId="3C76EFB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In addition to general education, there should be early and prompt identification of children and young people who are at risk of or are experiencing DFSV, to ensure timely support. Educators currently feel ill-equipped to identify and respond to signs of DFSV (King, 2024). To combat this, programs that ensure educators to feel confident and skilled in identifying DFSV should be funded and provided.  </w:t>
      </w:r>
    </w:p>
    <w:p w14:paraId="0000008E"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Recognising and Responding to People Using Violence</w:t>
      </w:r>
    </w:p>
    <w:p w14:paraId="00000090" w14:textId="67377CA9"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In recognising and responding to people using or at risk of using violence the priority must be early recognition of violent behaviours, with consistent accountability measures implemented in a culturally safe manner in response. </w:t>
      </w:r>
    </w:p>
    <w:p w14:paraId="00000092" w14:textId="56B64885"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Policy for recognising and responding to violent behaviours must consider the impact of culture in the presentation of violent or at-risk behaviours and on the appropriate response. Forms of violence and risk factors may materialise</w:t>
      </w:r>
      <w:r w:rsidRPr="006857B2">
        <w:rPr>
          <w:rFonts w:ascii="Times New Roman" w:eastAsia="Times New Roman" w:hAnsi="Times New Roman" w:cs="Times New Roman"/>
        </w:rPr>
        <w:t xml:space="preserve"> differently depending on culture, religion, gender, location and other factors (Kebbell et al., 2025). This must be taken into account to prevent a ‘blanket’ technique to recognise violent or at-risk behaviours that allows individuals to fall through the cracks.</w:t>
      </w:r>
    </w:p>
    <w:p w14:paraId="00000094" w14:textId="2A08EA1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All responses to people using or at risk of using violence should recognise Australia is a diverse, multicultural society wherein community and family units have different needs depending on culture, religion, kinship, accessibility, gender, and location. Services, and those providing DFSV support, must understand the communities, and the families that make up the communities, and tailor approaches accordingly. </w:t>
      </w:r>
    </w:p>
    <w:p w14:paraId="00000096" w14:textId="33092AA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Accountability is the primary consideration when responding to people who use or are at risk of using violence. Currently, the focus is largely on victim-survivors with little attention towards holding those who use violence to account. Responses should condemn violent behaviour and recognise that blame sits with people who use violence, not on victim-survivors. This process must involve a collaborative approach to ensure consistency across institutions. Such collaboration allows institutions to reinforce e</w:t>
      </w:r>
      <w:r w:rsidRPr="006857B2">
        <w:rPr>
          <w:rFonts w:ascii="Times New Roman" w:eastAsia="Times New Roman" w:hAnsi="Times New Roman" w:cs="Times New Roman"/>
        </w:rPr>
        <w:t xml:space="preserve">ach other's responses, practitioners facilitating behaviour change and legal systems ensuring formal accountability and protection of victim-survivors. </w:t>
      </w:r>
    </w:p>
    <w:p w14:paraId="00000098" w14:textId="1336CBF8"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 xml:space="preserve">Sociological factors like norms and attitudes towards women underpin the epidemic of people using or at risk of using violence (Coumarelos et al., 2021). Research shows that such dangerous attitudes and behaviours towards women are exacerbated in environments where this perspective remains unchallenged. Accordingly, all workplaces, particularly those that are male dominated, must have mandated DFSV awareness and prevention training. </w:t>
      </w:r>
    </w:p>
    <w:p w14:paraId="00000099"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Accountability, Change and Reduction in Violence</w:t>
      </w:r>
    </w:p>
    <w:p w14:paraId="0000009B" w14:textId="01B7232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Behaviour change programs can support the development of accountability, behaviour change and reductions in violence. These programs must centre the voice and experience of victim-survivors, directly consider victim-survivor safety, and engage evidence-based tactics for change. </w:t>
      </w:r>
    </w:p>
    <w:p w14:paraId="0000009D" w14:textId="542F714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Implementation of evidence-based behaviour change programs can aid accountability and behaviour change in individuals who use violence (O’Connor et al., 2020). Despite links to increased accountability and desires to improve safety, the practical connection between behaviour change programs and increased safety for victim-survivors is under</w:t>
      </w:r>
      <w:r w:rsidR="00891888" w:rsidRPr="006857B2">
        <w:rPr>
          <w:rFonts w:ascii="Times New Roman" w:eastAsia="Times New Roman" w:hAnsi="Times New Roman" w:cs="Times New Roman"/>
        </w:rPr>
        <w:t>-</w:t>
      </w:r>
      <w:r w:rsidRPr="006857B2">
        <w:rPr>
          <w:rFonts w:ascii="Times New Roman" w:eastAsia="Times New Roman" w:hAnsi="Times New Roman" w:cs="Times New Roman"/>
        </w:rPr>
        <w:t xml:space="preserve">researched and rarely considered (O’Connor et al., 2020; ANROWS, 2020). Behaviour change programs must not be implemented at the expense of victim-survivor safety. The paramount concern is ensuring further violence is not perpetrated against victim-survivors or any other individual. This concern needs to be engaged as an explicit measure of whether behaviour-change programs are effective. </w:t>
      </w:r>
    </w:p>
    <w:p w14:paraId="0000009F" w14:textId="4A5C5278"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Victim-survivors' voices and experiences should be centred in the development of behaviour reform programs. Where safe and appropriate, organisations should work with victim-survivor led groups to provide lived experience education. In addition to this, front line services should actively campaign to dismantle harmful stereotypes and mis/disinformation surrounding sexual violence. What Were You Wearing advocates for the implementation of mandatory DFSV training for all frontline staff nationally. </w:t>
      </w:r>
    </w:p>
    <w:p w14:paraId="000000A1" w14:textId="52D4959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People who use violence should also be supported to identify intrinsic and extrinsic motivators for behaviour change. Research has indicated that intrinsic behaviour change, that is self-motivated through actual desire for development, correlates highly with lasting behaviour change (Dheensa</w:t>
      </w:r>
      <w:r w:rsidRPr="006857B2">
        <w:rPr>
          <w:rFonts w:ascii="Times New Roman" w:eastAsia="Times New Roman" w:hAnsi="Times New Roman" w:cs="Times New Roman"/>
        </w:rPr>
        <w:t xml:space="preserve">, 2021). Contrasting this, extrinsic behaviour change often arises from mandated behaviour change, like through court rulings, and is frequently outcomes based. Approaches to support people who use violence to take accountability and change behaviour should work to challenge deeply embedded core beliefs, ensuring DFSV is not normalised and accepted as appropriate behaviour. </w:t>
      </w:r>
    </w:p>
    <w:p w14:paraId="000000A2"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Strengthening Culturally Safe, Accessible, and Evidence-Based Responses</w:t>
      </w:r>
    </w:p>
    <w:p w14:paraId="000000A4" w14:textId="407CA7F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Governments and services must recognise the diverse needs of communities and cannot make assumptions about their needs. Rather all responses should be developed in collaboration with the relevant community. A key manner to increase such collaboration is an increase of funding, particularly to First Nations, victim-survivor led, and grassroots organisations. Victim-survivors are experts in DFSV, and are best placed to develop responses. </w:t>
      </w:r>
    </w:p>
    <w:p w14:paraId="000000A6" w14:textId="09437E5A"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To strengthen their responses, governments and services must recognise the value of including victim-survivors voices, particularly young women's voices, in the development of programs. The effectiveness of victim-survivor developed programs is evidenced in What Were You Wearing’s Survivor Healing Groups. Participants to these groups have provided feedback that the experience was “transformative” and that they have “never felt more supported in their life”. This demonstrates the power of responses developed</w:t>
      </w:r>
      <w:r w:rsidRPr="006857B2">
        <w:rPr>
          <w:rFonts w:ascii="Times New Roman" w:eastAsia="Times New Roman" w:hAnsi="Times New Roman" w:cs="Times New Roman"/>
        </w:rPr>
        <w:t xml:space="preserve"> by victim-</w:t>
      </w:r>
      <w:r w:rsidRPr="006857B2">
        <w:rPr>
          <w:rFonts w:ascii="Times New Roman" w:eastAsia="Times New Roman" w:hAnsi="Times New Roman" w:cs="Times New Roman"/>
        </w:rPr>
        <w:lastRenderedPageBreak/>
        <w:t xml:space="preserve">survivors. An increase in funding to victim-survivor led organisations and increased collaboration with such organisations would significantly strengthen government responses. </w:t>
      </w:r>
    </w:p>
    <w:p w14:paraId="000000A7"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Collaboration must also be strengthened with First Nations communities and organisations. At present, minimal progress has been made to achieve reduction in DFSV against Aboriginal and Torres Strait Islander women and children, with First Nations women 34 times more likely to be hospitalised due to family violence than other women in Australia (First Nations Advocates Against Family Violence, 2026). Evidence demonstrates that responses to DFSV should be developed in partnership with First Nations communitie</w:t>
      </w:r>
      <w:r w:rsidRPr="006857B2">
        <w:rPr>
          <w:rFonts w:ascii="Times New Roman" w:eastAsia="Times New Roman" w:hAnsi="Times New Roman" w:cs="Times New Roman"/>
        </w:rPr>
        <w:t xml:space="preserve">s, not for communities (Thomas, 2023). To strengthen their response to DFSV in First Nations </w:t>
      </w:r>
      <w:r w:rsidRPr="006857B2">
        <w:rPr>
          <w:rFonts w:ascii="Times New Roman" w:eastAsia="Times New Roman" w:hAnsi="Times New Roman" w:cs="Times New Roman"/>
        </w:rPr>
        <w:t xml:space="preserve">communities governments and services must centre the voices of First Nations peoples, including through funding First Nations-led organisations. </w:t>
      </w:r>
    </w:p>
    <w:p w14:paraId="000000A8" w14:textId="77777777" w:rsidR="003F666B" w:rsidRPr="006857B2" w:rsidRDefault="003F666B" w:rsidP="00E95D03">
      <w:pPr>
        <w:spacing w:line="276" w:lineRule="auto"/>
        <w:rPr>
          <w:rFonts w:ascii="Times New Roman" w:eastAsia="Times New Roman" w:hAnsi="Times New Roman" w:cs="Times New Roman"/>
        </w:rPr>
        <w:sectPr w:rsidR="003F666B" w:rsidRPr="006857B2" w:rsidSect="007F1B7D">
          <w:pgSz w:w="12240" w:h="15840"/>
          <w:pgMar w:top="1440" w:right="1440" w:bottom="1440" w:left="1440" w:header="720" w:footer="720" w:gutter="0"/>
          <w:cols w:space="720"/>
        </w:sectPr>
      </w:pPr>
    </w:p>
    <w:p w14:paraId="163A1B3A" w14:textId="2C458D75" w:rsidR="00081D8A" w:rsidRPr="006857B2" w:rsidRDefault="00081D8A" w:rsidP="00E95D03">
      <w:pPr>
        <w:pStyle w:val="Heading1"/>
        <w:spacing w:line="276" w:lineRule="auto"/>
        <w:rPr>
          <w:rFonts w:ascii="Times New Roman" w:eastAsia="Times New Roman" w:hAnsi="Times New Roman" w:cs="Times New Roman"/>
          <w:b/>
          <w:bCs/>
          <w:color w:val="F79646" w:themeColor="accent6"/>
        </w:rPr>
      </w:pPr>
      <w:bookmarkStart w:id="4" w:name="_6ob7ioibwta" w:colFirst="0" w:colLast="0"/>
      <w:bookmarkEnd w:id="4"/>
      <w:r w:rsidRPr="006857B2">
        <w:rPr>
          <w:rFonts w:ascii="Times New Roman" w:eastAsia="Times New Roman" w:hAnsi="Times New Roman" w:cs="Times New Roman"/>
          <w:b/>
          <w:bCs/>
          <w:color w:val="F79646" w:themeColor="accent6"/>
        </w:rPr>
        <w:lastRenderedPageBreak/>
        <w:t>System Integration</w:t>
      </w:r>
    </w:p>
    <w:p w14:paraId="000000AB" w14:textId="7D53063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What Were You Wearing? Australia’s position is that systems must be designed around the real experiences of victim-survivors, not around the convenience of institutions.</w:t>
      </w:r>
    </w:p>
    <w:p w14:paraId="000000AD" w14:textId="7521EBFA"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Right now, that design is inverted. When a victim-survivor is required to repeatedly disclose traumatic experiences, chase up their own referrals, or explain their situation to a new service with no memory of the last one, the system is not protecting them, it is outsourcing its own coordination failures back onto the person least able to carry them. A connected system should absorb that burden, not pass it on.</w:t>
      </w:r>
    </w:p>
    <w:p w14:paraId="000000AF" w14:textId="419C839C" w:rsidR="003F666B" w:rsidRPr="006857B2" w:rsidRDefault="008D53D9" w:rsidP="00E95D03">
      <w:pPr>
        <w:spacing w:line="276" w:lineRule="auto"/>
        <w:rPr>
          <w:rFonts w:ascii="Times New Roman" w:eastAsia="Times New Roman" w:hAnsi="Times New Roman" w:cs="Times New Roman"/>
          <w:b/>
          <w:bCs/>
          <w:u w:val="single"/>
        </w:rPr>
      </w:pPr>
      <w:r w:rsidRPr="006857B2">
        <w:rPr>
          <w:rFonts w:ascii="Times New Roman" w:eastAsia="Times New Roman" w:hAnsi="Times New Roman" w:cs="Times New Roman"/>
        </w:rPr>
        <w:t>The Second Action Plan should prioritise practical reforms that make services easier to access, safer to navigate, and genuinely accountable to the people they exist to support.</w:t>
      </w:r>
    </w:p>
    <w:p w14:paraId="000000B0"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Coordinated and connected system response</w:t>
      </w:r>
    </w:p>
    <w:p w14:paraId="000000B2" w14:textId="5811E57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biggest difference in creating a more coordinated and connected system response for people affected by violence against women and children and other forms of gender-based violence, and people using violence, would be creating a system that reduces the burden on victim-survivors to navigate support alone. One of the biggest barriers women describe is being made to repeat their story to police, then a GP, then a psychologist, then a housing service, with no shared understanding between agencies and no con</w:t>
      </w:r>
      <w:r w:rsidRPr="006857B2">
        <w:rPr>
          <w:rFonts w:ascii="Times New Roman" w:eastAsia="Times New Roman" w:hAnsi="Times New Roman" w:cs="Times New Roman"/>
        </w:rPr>
        <w:t xml:space="preserve">tinuity of the risk information they've already disclosed. </w:t>
      </w:r>
    </w:p>
    <w:p w14:paraId="000000B4" w14:textId="2C71C3CD"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A report from ANROWS champions victim-survivors voices and shares the experiences navigating the system. “You get referred here, there, and everywhere. In the beginning you’re on so many phone calls, you can’t remember who you were talking to, where they’re from. You go through the same story hundreds of times, and you just get completely lost” (Hegarty et al., 2022). </w:t>
      </w:r>
    </w:p>
    <w:p w14:paraId="000000B6" w14:textId="237157E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For victim-survivors this can be confusing, distressing and retraumatising</w:t>
      </w:r>
      <w:r w:rsidRPr="006857B2">
        <w:rPr>
          <w:rFonts w:ascii="Times New Roman" w:eastAsia="Times New Roman" w:hAnsi="Times New Roman" w:cs="Times New Roman"/>
        </w:rPr>
        <w:t>. It can also lead to disengagement from support, particularly when a person feels they are not believed, has to repeat painful details, or is unsure what will happen with the information they provide. A system that is difficult for adults to navigate is even harder for young people to access safely.</w:t>
      </w:r>
    </w:p>
    <w:p w14:paraId="000000B7"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Recommendations: </w:t>
      </w:r>
    </w:p>
    <w:p w14:paraId="000000B9" w14:textId="4E4711BD"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Establish a national </w:t>
      </w:r>
      <w:r w:rsidRPr="006857B2">
        <w:rPr>
          <w:rFonts w:ascii="Times New Roman" w:eastAsia="Times New Roman" w:hAnsi="Times New Roman" w:cs="Times New Roman"/>
          <w:i/>
          <w:iCs/>
        </w:rPr>
        <w:t>“tell us once”</w:t>
      </w:r>
      <w:r w:rsidRPr="006857B2">
        <w:rPr>
          <w:rFonts w:ascii="Times New Roman" w:eastAsia="Times New Roman" w:hAnsi="Times New Roman" w:cs="Times New Roman"/>
        </w:rPr>
        <w:t xml:space="preserve"> principle for victim-survivors. This would mean that when a victim-survivor has shared relevant information with a trusted professional, they should not have to keep repeating the same story at every new point of contact. </w:t>
      </w:r>
    </w:p>
    <w:p w14:paraId="000000BB" w14:textId="1780560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With the person’s informed consent, relevant safety and support information should be able to be shared between services involved in their care. This approach must be victim-survivor-led. Consent should be clear, informed, specific and able to be withdrawn where possible. Victim-survivors should be told what information will be shared, who it will be shared with, why it is being shared, and what choices they have. A “tell us once” approach should include: standardised</w:t>
      </w:r>
      <w:r w:rsidRPr="006857B2">
        <w:rPr>
          <w:rFonts w:ascii="Times New Roman" w:eastAsia="Times New Roman" w:hAnsi="Times New Roman" w:cs="Times New Roman"/>
        </w:rPr>
        <w:t xml:space="preserve"> consent-based information sharing processes, secure systems for sharing relevant safety information, clear privacy guidance for services, workforce training on trauma-informed information sharing, and safeguards to ensure information sharing does not increase risk Victim-survivors should not have to repeatedly prove their trauma in order to access support.</w:t>
      </w:r>
    </w:p>
    <w:p w14:paraId="000000BD" w14:textId="31721B1F"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lastRenderedPageBreak/>
        <w:t>An adoption of a "</w:t>
      </w:r>
      <w:r w:rsidRPr="006857B2">
        <w:rPr>
          <w:rFonts w:ascii="Times New Roman" w:eastAsia="Times New Roman" w:hAnsi="Times New Roman" w:cs="Times New Roman"/>
          <w:i/>
          <w:iCs/>
        </w:rPr>
        <w:t>no wrong door"</w:t>
      </w:r>
      <w:r w:rsidRPr="006857B2">
        <w:rPr>
          <w:rFonts w:ascii="Times New Roman" w:eastAsia="Times New Roman" w:hAnsi="Times New Roman" w:cs="Times New Roman"/>
        </w:rPr>
        <w:t xml:space="preserve"> approach,</w:t>
      </w:r>
      <w:r w:rsidRPr="006857B2">
        <w:rPr>
          <w:rFonts w:ascii="Times New Roman" w:eastAsia="Times New Roman" w:hAnsi="Times New Roman" w:cs="Times New Roman"/>
        </w:rPr>
        <w:t xml:space="preserve"> means that wherever a victim-survivor first seeks help, they should be believed, responded to safely, and connected to the right support. This may include schools, TAFEs, universities, workplaces, GPs, hospitals, police, youth services, housing services, Centrelink, legal services, community organisations or specialist family</w:t>
      </w:r>
      <w:r w:rsidRPr="006857B2">
        <w:rPr>
          <w:rFonts w:ascii="Times New Roman" w:eastAsia="Times New Roman" w:hAnsi="Times New Roman" w:cs="Times New Roman"/>
        </w:rPr>
        <w:t xml:space="preserve">, domestic and sexual violence services. A “no wrong door” approach should not mean simply giving someone a phone number or website and leaving them to follow up alone. It should involve warm referrals, where the first service takes responsibility for connecting the person to the next appropriate support. Formal, funded pathways between schools/TAFEs/universities and specialist violence support services, since education settings are frequently the first place a young person's experience of violence becomes </w:t>
      </w:r>
      <w:r w:rsidRPr="006857B2">
        <w:rPr>
          <w:rFonts w:ascii="Times New Roman" w:eastAsia="Times New Roman" w:hAnsi="Times New Roman" w:cs="Times New Roman"/>
        </w:rPr>
        <w:t>visible.</w:t>
      </w:r>
    </w:p>
    <w:p w14:paraId="000000BE"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Prevention, early intervention, response and recovery in the workforce</w:t>
      </w:r>
    </w:p>
    <w:p w14:paraId="000000C0" w14:textId="01874B68"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Workforce capability cannot be separated from workforce sustainability. The National Plan calls for trauma-informed, person-centred and coordinated responses. However, this cannot be achieved without a skilled, supported and stable workforce. Frontline and specialist workers are often exposed to high levels of trauma, complex risk, workforce shortages and burnout. This directly affects service quality, continuity of care and victim-survivor safety.</w:t>
      </w:r>
    </w:p>
    <w:p w14:paraId="000000C2" w14:textId="3E6491C6"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Workforce capability must also extend beyond specialist services. Many victim-survivors first disclose to someone in a universal setting, such as a teacher, GP, youth worker, housing worker, workplace manager, sports coach or community worker. The first response matters. A poor response can increase shame, self-blame and disengagement from support.</w:t>
      </w:r>
    </w:p>
    <w:p w14:paraId="000000C3"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Recommendations: </w:t>
      </w:r>
    </w:p>
    <w:p w14:paraId="000000C5" w14:textId="33392D3A"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Mandatory, resourced training across all frontline and universal services (police, health, education, housing) in recognising coercive control, technology-facilitated abuse and adolescent-to-parent or peer violence.</w:t>
      </w:r>
    </w:p>
    <w:p w14:paraId="000000C7" w14:textId="3388D646"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Refreshed training with evolving forms of violence. Training should include the following: trauma-informed and violence-informed practice, responding to disclosures safely, avoiding victim-blaming, coercive control, sexual violence and harassment, technology-facilitated abuse, image-based abuse, stalking and monitoring, financial abuse, dating and peer relationship violence, adolescent family violence, children and young people as victim-survivors in their own right, warm referrals and service navigation, c</w:t>
      </w:r>
      <w:r w:rsidRPr="006857B2">
        <w:rPr>
          <w:rFonts w:ascii="Times New Roman" w:eastAsia="Times New Roman" w:hAnsi="Times New Roman" w:cs="Times New Roman"/>
        </w:rPr>
        <w:t>ultural safety, disability-inclusive practice, and LGBTQIA+ inclusive practice.</w:t>
      </w:r>
    </w:p>
    <w:p w14:paraId="000000C9" w14:textId="07920AA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Training must be practical, not just awareness</w:t>
      </w:r>
      <w:r w:rsidR="00891888" w:rsidRPr="006857B2">
        <w:rPr>
          <w:rFonts w:ascii="Times New Roman" w:eastAsia="Times New Roman" w:hAnsi="Times New Roman" w:cs="Times New Roman"/>
        </w:rPr>
        <w:t xml:space="preserve"> </w:t>
      </w:r>
      <w:r w:rsidRPr="006857B2">
        <w:rPr>
          <w:rFonts w:ascii="Times New Roman" w:eastAsia="Times New Roman" w:hAnsi="Times New Roman" w:cs="Times New Roman"/>
        </w:rPr>
        <w:t>based. Workers need scripts, referral tools, risk indicators, decision-making guides and supervision.</w:t>
      </w:r>
    </w:p>
    <w:p w14:paraId="000000CB" w14:textId="0E5A3BB8"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ensure workforce training is regularly updated to reflect emerging and changing forms of violence. This is especially important for technology-facilitated abuse. Tactics can change quickly, including location tracking, image-based abuse, shared device monitoring, social media harassment, account access, digital impersonation and coercive control through technology. A one-off training session is not enough. The Second Action Plan should fund regular refresher training</w:t>
      </w:r>
      <w:r w:rsidRPr="006857B2">
        <w:rPr>
          <w:rFonts w:ascii="Times New Roman" w:eastAsia="Times New Roman" w:hAnsi="Times New Roman" w:cs="Times New Roman"/>
        </w:rPr>
        <w:t xml:space="preserve"> so workforce knowledge does not become outdated.</w:t>
      </w:r>
    </w:p>
    <w:p w14:paraId="000000CD" w14:textId="36B1B240" w:rsidR="003F666B" w:rsidRPr="006857B2" w:rsidRDefault="008D53D9" w:rsidP="00E95D03">
      <w:pPr>
        <w:spacing w:line="276" w:lineRule="auto"/>
        <w:rPr>
          <w:rFonts w:ascii="Times New Roman" w:eastAsia="Times New Roman" w:hAnsi="Times New Roman" w:cs="Times New Roman"/>
          <w:b/>
          <w:bCs/>
          <w:u w:val="single"/>
        </w:rPr>
      </w:pPr>
      <w:r w:rsidRPr="006857B2">
        <w:rPr>
          <w:rFonts w:ascii="Times New Roman" w:eastAsia="Times New Roman" w:hAnsi="Times New Roman" w:cs="Times New Roman"/>
        </w:rPr>
        <w:t>The Second Action Plan should include specific actions to improve workforce sustainability. Specialist services cannot provide consistent, trauma-informed support if they are operating with short-term funding, insecure roles and overstretched staff.</w:t>
      </w:r>
    </w:p>
    <w:p w14:paraId="000000CE"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lastRenderedPageBreak/>
        <w:t>Effective approaches and models</w:t>
      </w:r>
    </w:p>
    <w:p w14:paraId="000000D0" w14:textId="5A1001C3"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Effective collaboration requires more than referral lists. It requires shared responsibility, clear accountability and safe information sharing between services.</w:t>
      </w:r>
    </w:p>
    <w:p w14:paraId="000000D2" w14:textId="33207EBE"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Victim-survivors should not be expected to act as the messenger between disconnected systems. Coordination models should be designed around how people actually seek help, including through schools, universities, workplaces, friends, family, health services and community organisations.</w:t>
      </w:r>
    </w:p>
    <w:p w14:paraId="000000D3"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Recommendations: </w:t>
      </w:r>
    </w:p>
    <w:p w14:paraId="000000D5" w14:textId="1B36445F"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establishment of a nationally consistent risk assessment and information-sharing framework across states and territories.</w:t>
      </w:r>
    </w:p>
    <w:p w14:paraId="000000D7" w14:textId="00AAFDE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current patchwork of systems can leave victim-survivors falling through gaps, especially when they move between services, regions or jurisdictions. This is particularly important for victim-survivors escaping violence, relocating for safety, or interacting with multiple services at once. Fund local service navigator roles to support victim-survivors to move between systems. This would reduce the burden on victim-survivors to understand every system themselves.</w:t>
      </w:r>
    </w:p>
    <w:p w14:paraId="000000D9" w14:textId="3ADAD68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Coordination models should be co-designed with victim-survivors, young women and young people, not only service providers. Systems are often built around how agencies are structured rather than how people actually seek help. Victim-survivors should be involved in designing referral pathways, service information, online resources, school and university responses, and feedback mechanisms. Co-design should be paid, safe, trauma-informed and accessible. It should not rely on unpaid lived-experience labour.</w:t>
      </w:r>
    </w:p>
    <w:p w14:paraId="000000DA"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Supports needed for specialist and universal services</w:t>
      </w:r>
    </w:p>
    <w:p w14:paraId="000000DC" w14:textId="786452C1"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Inclusion cannot be an add-on. Services need dedicated resourcing to be genuinely accessible to Aboriginal and Torres Strait Islander people, Culturally and Linguistically Diverse communities, migrant, disability and LGBTQIA+ communities, rather than a single mainstream model retrofitted for diversity</w:t>
      </w:r>
    </w:p>
    <w:p w14:paraId="000000DD"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Recommendations: </w:t>
      </w:r>
    </w:p>
    <w:p w14:paraId="000000DF" w14:textId="3BC7A263"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require services to provide information that is clear, accessible and easy to find. This should include:</w:t>
      </w:r>
      <w:r w:rsidRPr="006857B2">
        <w:rPr>
          <w:rFonts w:ascii="Times New Roman" w:eastAsia="Times New Roman" w:hAnsi="Times New Roman" w:cs="Times New Roman"/>
        </w:rPr>
        <w:t xml:space="preserve"> plain-English information, multilingual resources, easy Read and accessible formats, youth-friendly resources, culturally appropriate communication, information available through platforms young people use, text-based and online support options, and clear explanations of rights, consent, reporting and referral options.</w:t>
      </w:r>
    </w:p>
    <w:p w14:paraId="000000E1" w14:textId="74AD7592"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Many young people may not contact a formal service if they are unsure whether their experience “counts” as violence. Service information should use language that reflects young people’s experiences, including harassment, pressure, stalking, coercive control, image-based abuse, sexual assault, emotional abuse and unsafe relationships. Victim-survivors should not have to find a “special” service to be treated safely, respectfully and appropriately. All services should have minimum expectations for cultural sa</w:t>
      </w:r>
      <w:r w:rsidRPr="006857B2">
        <w:rPr>
          <w:rFonts w:ascii="Times New Roman" w:eastAsia="Times New Roman" w:hAnsi="Times New Roman" w:cs="Times New Roman"/>
        </w:rPr>
        <w:t>fety, disability access, trauma-informed practice and inclusive support.</w:t>
      </w:r>
    </w:p>
    <w:p w14:paraId="000000E3" w14:textId="3D84586D"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 xml:space="preserve">The Second Action Plan should provide sustainable long-term funding to specialist and community-led services. Short-term project funding makes it difficult to build trust, retain staff and deliver consistent support. This is especially harmful for communities that already face barriers to accessing mainstream systems. </w:t>
      </w:r>
      <w:r w:rsidRPr="006857B2">
        <w:rPr>
          <w:rFonts w:ascii="Times New Roman" w:eastAsia="Times New Roman" w:hAnsi="Times New Roman" w:cs="Times New Roman"/>
        </w:rPr>
        <w:lastRenderedPageBreak/>
        <w:t>Community-led organisations should be recognised as essential parts of the family, domestic and sexual violence response system, not optional add-ons.</w:t>
      </w:r>
    </w:p>
    <w:p w14:paraId="000000E4" w14:textId="77777777" w:rsidR="003F666B" w:rsidRPr="006857B2" w:rsidRDefault="008D53D9" w:rsidP="00E95D03">
      <w:pPr>
        <w:pStyle w:val="Heading2"/>
        <w:spacing w:line="276" w:lineRule="auto"/>
        <w:rPr>
          <w:rFonts w:ascii="Times New Roman" w:eastAsia="Times New Roman" w:hAnsi="Times New Roman" w:cs="Times New Roman"/>
          <w:color w:val="F79646" w:themeColor="accent6"/>
        </w:rPr>
      </w:pPr>
      <w:r w:rsidRPr="006857B2">
        <w:rPr>
          <w:rFonts w:ascii="Times New Roman" w:eastAsia="Times New Roman" w:hAnsi="Times New Roman" w:cs="Times New Roman"/>
          <w:color w:val="F79646" w:themeColor="accent6"/>
        </w:rPr>
        <w:t xml:space="preserve">Evidence, workforce, and system gaps </w:t>
      </w:r>
    </w:p>
    <w:p w14:paraId="000000E6" w14:textId="19412724"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include clear, trackable indicators of success. Broad commitments are not enough. Progress should be measured by whether victim-survivors experience systems as safer, easier to access, more coordinated and less harmful.</w:t>
      </w:r>
    </w:p>
    <w:p w14:paraId="000000E8" w14:textId="738745E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First Action Plan has been criticised for lacking clear and measurable indicators. The Second Action Plan should address this directly by including stronger accountability, public reporting and outcome measures.</w:t>
      </w:r>
    </w:p>
    <w:p w14:paraId="000000E9" w14:textId="77777777" w:rsidR="003F666B" w:rsidRPr="006857B2" w:rsidRDefault="008D53D9" w:rsidP="00E95D03">
      <w:pPr>
        <w:spacing w:line="276" w:lineRule="auto"/>
        <w:rPr>
          <w:rFonts w:ascii="Times New Roman" w:eastAsia="Times New Roman" w:hAnsi="Times New Roman" w:cs="Times New Roman"/>
          <w:u w:val="single"/>
        </w:rPr>
      </w:pPr>
      <w:r w:rsidRPr="006857B2">
        <w:rPr>
          <w:rFonts w:ascii="Times New Roman" w:eastAsia="Times New Roman" w:hAnsi="Times New Roman" w:cs="Times New Roman"/>
          <w:u w:val="single"/>
        </w:rPr>
        <w:t xml:space="preserve">Recommendations: </w:t>
      </w:r>
    </w:p>
    <w:p w14:paraId="000000EB" w14:textId="27908C40"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success of system integration should be measured by victim-survivor experience, not only by service activity. Indicators should include:</w:t>
      </w:r>
      <w:r w:rsidRPr="006857B2">
        <w:rPr>
          <w:rFonts w:ascii="Times New Roman" w:eastAsia="Times New Roman" w:hAnsi="Times New Roman" w:cs="Times New Roman"/>
        </w:rPr>
        <w:t xml:space="preserve"> whether victim-survivors have to repeat their story across multiple services, whether referrals result in actual support, how long people wait for support, whether people feel believed and respected, whether people understand their options, whether services are culturally safe and accessible, whether young people know where to seek help, and whether victim-survivors feel safer after engaging with services.</w:t>
      </w:r>
    </w:p>
    <w:p w14:paraId="000000ED" w14:textId="6F61400D"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measure whether referrals lead to timely, appropriate and safe support. A referral is not successful if a victim-survivor is placed on a long waitlist, cannot afford the service, is not eligible, has to repeat their story again, or disengages because the process is too difficult.</w:t>
      </w:r>
    </w:p>
    <w:p w14:paraId="000000EE"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should include workforce sustainability indicators, these should include: workforce turnover, vacancy rates, burnout, access to supervision, access to training, staff retention, wait times caused by workforce shortages, availability of specialist support in regional and remote areas, and sustainability of volunteer and community-led prevention work.</w:t>
      </w:r>
    </w:p>
    <w:p w14:paraId="000000EF" w14:textId="77777777" w:rsidR="003F666B" w:rsidRPr="006857B2" w:rsidRDefault="008D53D9" w:rsidP="00E95D03">
      <w:pPr>
        <w:spacing w:line="276" w:lineRule="auto"/>
        <w:rPr>
          <w:rFonts w:ascii="Times New Roman" w:eastAsia="Times New Roman" w:hAnsi="Times New Roman" w:cs="Times New Roman"/>
        </w:rPr>
      </w:pPr>
      <w:r w:rsidRPr="006857B2">
        <w:rPr>
          <w:rFonts w:ascii="Times New Roman" w:eastAsia="Times New Roman" w:hAnsi="Times New Roman" w:cs="Times New Roman"/>
        </w:rPr>
        <w:t>A system cannot provide trauma-informed care if the workforce delivering it is unsupported, underfunded and unstable.</w:t>
      </w:r>
    </w:p>
    <w:p w14:paraId="000000F0" w14:textId="77777777" w:rsidR="003F666B" w:rsidRPr="006857B2" w:rsidRDefault="008D53D9" w:rsidP="00E95D03">
      <w:pPr>
        <w:spacing w:before="240" w:after="240" w:line="276" w:lineRule="auto"/>
        <w:rPr>
          <w:rFonts w:ascii="Times New Roman" w:eastAsia="Times New Roman" w:hAnsi="Times New Roman" w:cs="Times New Roman"/>
        </w:rPr>
      </w:pPr>
      <w:r w:rsidRPr="006857B2">
        <w:rPr>
          <w:rFonts w:ascii="Times New Roman" w:eastAsia="Times New Roman" w:hAnsi="Times New Roman" w:cs="Times New Roman"/>
        </w:rPr>
        <w:t>What Were You Wearing? Australia’s recommendations are not abstract. Each responds to a specific, documented failure: victim-survivors retelling their story at every door, workforces too stretched to deliver the trauma-informed care the National Plan promises, and a First Action Plan that could not be properly measured because it lacked clear indicators of success.</w:t>
      </w:r>
    </w:p>
    <w:p w14:paraId="000000F1" w14:textId="77777777" w:rsidR="003F666B" w:rsidRPr="006857B2" w:rsidRDefault="008D53D9" w:rsidP="00E95D03">
      <w:pPr>
        <w:spacing w:before="240" w:after="240" w:line="276" w:lineRule="auto"/>
        <w:rPr>
          <w:rFonts w:ascii="Times New Roman" w:eastAsia="Times New Roman" w:hAnsi="Times New Roman" w:cs="Times New Roman"/>
        </w:rPr>
      </w:pPr>
      <w:r w:rsidRPr="006857B2">
        <w:rPr>
          <w:rFonts w:ascii="Times New Roman" w:eastAsia="Times New Roman" w:hAnsi="Times New Roman" w:cs="Times New Roman"/>
        </w:rPr>
        <w:t>The Second Action Plan has the chance to fix this by treating coordination as core safety infrastructure, not an administrative nicety, and by resourcing the workforce that delivers it as a matter of sustained national commitment. Success should be measured simply: whether a victim-survivor is believed the first time they speak up, whether they are connected to the right support without having to find it themselves, and whether the system remembers their story so they never have to prove it twice.</w:t>
      </w:r>
    </w:p>
    <w:p w14:paraId="000000F2" w14:textId="77777777" w:rsidR="003F666B" w:rsidRDefault="003F666B">
      <w:pPr>
        <w:rPr>
          <w:rFonts w:ascii="Times New Roman" w:eastAsia="Times New Roman" w:hAnsi="Times New Roman" w:cs="Times New Roman"/>
          <w:b/>
          <w:bCs/>
          <w:sz w:val="24"/>
          <w:szCs w:val="24"/>
          <w:u w:val="single"/>
        </w:rPr>
      </w:pPr>
    </w:p>
    <w:p w14:paraId="000000F3" w14:textId="77777777" w:rsidR="003F666B" w:rsidRDefault="003F666B">
      <w:pPr>
        <w:rPr>
          <w:rFonts w:ascii="Times New Roman" w:eastAsia="Times New Roman" w:hAnsi="Times New Roman" w:cs="Times New Roman"/>
          <w:b/>
          <w:bCs/>
          <w:sz w:val="24"/>
          <w:szCs w:val="24"/>
          <w:u w:val="single"/>
        </w:rPr>
      </w:pPr>
    </w:p>
    <w:p w14:paraId="000000F4" w14:textId="77777777" w:rsidR="003F666B" w:rsidRDefault="003F666B">
      <w:pPr>
        <w:rPr>
          <w:rFonts w:ascii="Times New Roman" w:eastAsia="Times New Roman" w:hAnsi="Times New Roman" w:cs="Times New Roman"/>
          <w:b/>
          <w:bCs/>
          <w:sz w:val="24"/>
          <w:szCs w:val="24"/>
          <w:u w:val="single"/>
        </w:rPr>
      </w:pPr>
    </w:p>
    <w:p w14:paraId="000000F6" w14:textId="77777777" w:rsidR="003F666B" w:rsidRDefault="003F666B">
      <w:pPr>
        <w:rPr>
          <w:rFonts w:ascii="Times New Roman" w:eastAsia="Times New Roman" w:hAnsi="Times New Roman" w:cs="Times New Roman"/>
          <w:b/>
          <w:bCs/>
          <w:sz w:val="24"/>
          <w:szCs w:val="24"/>
          <w:u w:val="single"/>
        </w:rPr>
        <w:sectPr w:rsidR="003F666B" w:rsidSect="007F1B7D">
          <w:pgSz w:w="12240" w:h="15840"/>
          <w:pgMar w:top="1440" w:right="1440" w:bottom="1440" w:left="1440" w:header="720" w:footer="720" w:gutter="0"/>
          <w:cols w:space="720"/>
        </w:sectPr>
      </w:pPr>
    </w:p>
    <w:p w14:paraId="000000F9" w14:textId="1105E6CC" w:rsidR="003F666B" w:rsidRPr="00CB18C5" w:rsidRDefault="008D53D9">
      <w:pPr>
        <w:spacing w:line="240" w:lineRule="auto"/>
        <w:rPr>
          <w:rFonts w:ascii="Times New Roman" w:eastAsia="Times New Roman" w:hAnsi="Times New Roman" w:cs="Times New Roman"/>
          <w:b/>
          <w:bCs/>
        </w:rPr>
      </w:pPr>
      <w:bookmarkStart w:id="5" w:name="_9fjovvw7l0vo" w:colFirst="0" w:colLast="0"/>
      <w:bookmarkEnd w:id="5"/>
      <w:r>
        <w:rPr>
          <w:rFonts w:ascii="Times New Roman" w:eastAsia="Times New Roman" w:hAnsi="Times New Roman" w:cs="Times New Roman"/>
          <w:b/>
          <w:bCs/>
        </w:rPr>
        <w:lastRenderedPageBreak/>
        <w:t>References</w:t>
      </w:r>
    </w:p>
    <w:p w14:paraId="000000FA" w14:textId="77777777" w:rsidR="003F666B" w:rsidRDefault="008D53D9">
      <w:pPr>
        <w:spacing w:line="240" w:lineRule="auto"/>
        <w:rPr>
          <w:rFonts w:ascii="Times New Roman" w:eastAsia="Times New Roman" w:hAnsi="Times New Roman" w:cs="Times New Roman"/>
        </w:rPr>
      </w:pPr>
      <w:r>
        <w:rPr>
          <w:rFonts w:ascii="Times New Roman" w:eastAsia="Times New Roman" w:hAnsi="Times New Roman" w:cs="Times New Roman"/>
        </w:rPr>
        <w:t xml:space="preserve">Ali, S. A. &amp; El Majdoubi, I. (2024). Sex Crimes and Victim Blaming: How to Stop It. </w:t>
      </w:r>
      <w:r>
        <w:rPr>
          <w:rFonts w:ascii="Times New Roman" w:eastAsia="Times New Roman" w:hAnsi="Times New Roman" w:cs="Times New Roman"/>
          <w:i/>
          <w:iCs/>
        </w:rPr>
        <w:t>Journal of Gender, Culture and Society, 4</w:t>
      </w:r>
      <w:r>
        <w:rPr>
          <w:rFonts w:ascii="Times New Roman" w:eastAsia="Times New Roman" w:hAnsi="Times New Roman" w:cs="Times New Roman"/>
        </w:rPr>
        <w:t>(1), 60-68. https://doi.org/10.32996/jgcs.2024.4.1.8</w:t>
      </w:r>
    </w:p>
    <w:p w14:paraId="000000FB"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ANROWS (2023). </w:t>
      </w:r>
      <w:r>
        <w:rPr>
          <w:rFonts w:ascii="Times New Roman" w:eastAsia="Times New Roman" w:hAnsi="Times New Roman" w:cs="Times New Roman"/>
          <w:i/>
          <w:iCs/>
        </w:rPr>
        <w:t xml:space="preserve">Australian National Research Agenda to End Violence Against Women and Children 2023–2028. </w:t>
      </w:r>
      <w:r>
        <w:rPr>
          <w:rFonts w:ascii="Times New Roman" w:eastAsia="Times New Roman" w:hAnsi="Times New Roman" w:cs="Times New Roman"/>
        </w:rPr>
        <w:t>https://www.anrows.org.au/publication/australian-national-research-agenda-to-end-violence-against-women-and-children/</w:t>
      </w:r>
    </w:p>
    <w:p w14:paraId="000000FC"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ANROWS (2023). </w:t>
      </w:r>
      <w:r>
        <w:rPr>
          <w:rFonts w:ascii="Times New Roman" w:eastAsia="Times New Roman" w:hAnsi="Times New Roman" w:cs="Times New Roman"/>
          <w:i/>
          <w:iCs/>
        </w:rPr>
        <w:t xml:space="preserve">“Chuck her on a lie detector”: Investigating Australians’ mistrust in women’s reports of sexual assault. </w:t>
      </w:r>
      <w:r>
        <w:rPr>
          <w:rFonts w:ascii="Times New Roman" w:eastAsia="Times New Roman" w:hAnsi="Times New Roman" w:cs="Times New Roman"/>
        </w:rPr>
        <w:t>https://www.anrows.org.au/publication/chuck-her-on-a-lie-detector-investigating-australians-mistrust-in-womens-reports-of-sexual-assault/</w:t>
      </w:r>
    </w:p>
    <w:p w14:paraId="000000FD" w14:textId="77777777" w:rsidR="003F666B" w:rsidRDefault="008D53D9">
      <w:pPr>
        <w:rPr>
          <w:rFonts w:ascii="Times New Roman" w:eastAsia="Times New Roman" w:hAnsi="Times New Roman" w:cs="Times New Roman"/>
          <w:i/>
          <w:iCs/>
        </w:rPr>
      </w:pPr>
      <w:r>
        <w:rPr>
          <w:rFonts w:ascii="Times New Roman" w:eastAsia="Times New Roman" w:hAnsi="Times New Roman" w:cs="Times New Roman"/>
        </w:rPr>
        <w:t xml:space="preserve">ANROWS. (2025, September 4). </w:t>
      </w:r>
      <w:r>
        <w:rPr>
          <w:rFonts w:ascii="Times New Roman" w:eastAsia="Times New Roman" w:hAnsi="Times New Roman" w:cs="Times New Roman"/>
          <w:i/>
          <w:iCs/>
        </w:rPr>
        <w:t>Coercive control, gaslighting and the digital lives of young people: what we need to hear.</w:t>
      </w:r>
      <w:r>
        <w:rPr>
          <w:rFonts w:ascii="Times New Roman" w:eastAsia="Times New Roman" w:hAnsi="Times New Roman" w:cs="Times New Roman"/>
        </w:rPr>
        <w:t xml:space="preserve"> https://www.anrows.org.au/children-young-people/coercive-control-young-people/</w:t>
      </w:r>
    </w:p>
    <w:p w14:paraId="000000FE"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ANROWS (2023). </w:t>
      </w:r>
      <w:r>
        <w:rPr>
          <w:rFonts w:ascii="Times New Roman" w:eastAsia="Times New Roman" w:hAnsi="Times New Roman" w:cs="Times New Roman"/>
          <w:i/>
          <w:iCs/>
        </w:rPr>
        <w:t xml:space="preserve">Technology‑facilitated abuse: Extent, nature and responses in the Australian community. </w:t>
      </w:r>
      <w:r>
        <w:rPr>
          <w:rFonts w:ascii="Times New Roman" w:eastAsia="Times New Roman" w:hAnsi="Times New Roman" w:cs="Times New Roman"/>
        </w:rPr>
        <w:t>https://www.anrows.org.au/project/technology-facilitated-abuse-extent-nature-and-responses-in-the-australian-community/</w:t>
      </w:r>
    </w:p>
    <w:p w14:paraId="000000FF" w14:textId="77777777" w:rsidR="003F666B" w:rsidRDefault="008D53D9">
      <w:pPr>
        <w:spacing w:before="240" w:after="240"/>
        <w:rPr>
          <w:rFonts w:ascii="Times New Roman" w:eastAsia="Times New Roman" w:hAnsi="Times New Roman" w:cs="Times New Roman"/>
          <w:i/>
          <w:iCs/>
        </w:rPr>
      </w:pPr>
      <w:r>
        <w:rPr>
          <w:rFonts w:ascii="Times New Roman" w:eastAsia="Times New Roman" w:hAnsi="Times New Roman" w:cs="Times New Roman"/>
        </w:rPr>
        <w:t xml:space="preserve">ANROWS (2023). </w:t>
      </w:r>
      <w:r>
        <w:rPr>
          <w:rFonts w:ascii="Times New Roman" w:eastAsia="Times New Roman" w:hAnsi="Times New Roman" w:cs="Times New Roman"/>
          <w:i/>
          <w:iCs/>
        </w:rPr>
        <w:t>Transforming responses to intimate partner and sexual violence: Listening to the voices of victims, perpetrators and services.</w:t>
      </w:r>
    </w:p>
    <w:p w14:paraId="00000100" w14:textId="77777777" w:rsidR="003F666B" w:rsidRDefault="008D53D9">
      <w:pPr>
        <w:rPr>
          <w:rFonts w:ascii="Times New Roman" w:eastAsia="Times New Roman" w:hAnsi="Times New Roman" w:cs="Times New Roman"/>
          <w:i/>
          <w:iCs/>
        </w:rPr>
      </w:pPr>
      <w:r>
        <w:rPr>
          <w:rFonts w:ascii="Times New Roman" w:eastAsia="Times New Roman" w:hAnsi="Times New Roman" w:cs="Times New Roman"/>
        </w:rPr>
        <w:t xml:space="preserve">Australian Government. (2023). Outcome 13: Aboriginal and Torres Strait Islander families and households are safe. </w:t>
      </w:r>
      <w:r>
        <w:rPr>
          <w:rFonts w:ascii="Times New Roman" w:eastAsia="Times New Roman" w:hAnsi="Times New Roman" w:cs="Times New Roman"/>
          <w:i/>
          <w:iCs/>
        </w:rPr>
        <w:t>NIAA</w:t>
      </w:r>
      <w:r>
        <w:rPr>
          <w:rFonts w:ascii="Times New Roman" w:eastAsia="Times New Roman" w:hAnsi="Times New Roman" w:cs="Times New Roman"/>
        </w:rPr>
        <w:t>. https://www.niaa.gov.au/2023-commonwealth-closing-gap-implementation-plan/delivering-outcomes-and-targets/outcome-13</w:t>
      </w:r>
    </w:p>
    <w:p w14:paraId="00000101" w14:textId="77777777" w:rsidR="003F666B" w:rsidRDefault="008D53D9">
      <w:pPr>
        <w:spacing w:before="240" w:after="240"/>
        <w:rPr>
          <w:rFonts w:ascii="Times New Roman" w:eastAsia="Times New Roman" w:hAnsi="Times New Roman" w:cs="Times New Roman"/>
          <w:i/>
          <w:iCs/>
        </w:rPr>
      </w:pPr>
      <w:r>
        <w:rPr>
          <w:rFonts w:ascii="Times New Roman" w:eastAsia="Times New Roman" w:hAnsi="Times New Roman" w:cs="Times New Roman"/>
        </w:rPr>
        <w:t xml:space="preserve">Australian Institute of Criminology (2023). </w:t>
      </w:r>
      <w:r>
        <w:rPr>
          <w:rFonts w:ascii="Times New Roman" w:eastAsia="Times New Roman" w:hAnsi="Times New Roman" w:cs="Times New Roman"/>
          <w:i/>
          <w:iCs/>
        </w:rPr>
        <w:t>Technology‑facilitated abuse trends.</w:t>
      </w:r>
    </w:p>
    <w:p w14:paraId="00000103" w14:textId="0B88F13F"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Australian Institute of Health and Welfare. (2022). </w:t>
      </w:r>
      <w:r>
        <w:rPr>
          <w:rFonts w:ascii="Times New Roman" w:eastAsia="Times New Roman" w:hAnsi="Times New Roman" w:cs="Times New Roman"/>
          <w:i/>
          <w:iCs/>
        </w:rPr>
        <w:t>Australia's Children.</w:t>
      </w:r>
      <w:r>
        <w:rPr>
          <w:rFonts w:ascii="Times New Roman" w:eastAsia="Times New Roman" w:hAnsi="Times New Roman" w:cs="Times New Roman"/>
        </w:rPr>
        <w:t xml:space="preserve"> https://www.aihw.gov.au/reports/children-youth/australias-children/contents/justice-safety/children-family-violence</w:t>
      </w:r>
    </w:p>
    <w:p w14:paraId="00000104" w14:textId="77777777" w:rsidR="003F666B" w:rsidRDefault="008D53D9">
      <w:pPr>
        <w:rPr>
          <w:rFonts w:ascii="Times New Roman" w:eastAsia="Times New Roman" w:hAnsi="Times New Roman" w:cs="Times New Roman"/>
        </w:rPr>
      </w:pPr>
      <w:r>
        <w:rPr>
          <w:rFonts w:ascii="Times New Roman" w:eastAsia="Times New Roman" w:hAnsi="Times New Roman" w:cs="Times New Roman"/>
        </w:rPr>
        <w:t>Coumarelos</w:t>
      </w:r>
      <w:r>
        <w:rPr>
          <w:rFonts w:ascii="Times New Roman" w:eastAsia="Times New Roman" w:hAnsi="Times New Roman" w:cs="Times New Roman"/>
        </w:rPr>
        <w:t>, C., Weeks, N., Bernstein, S., Roberts, N., Honey, N., Minter, K. &amp; Carlisle, E. (2021). Attitudes matter: The 2021 National Community Attitudes towards Violence against Women Survey (NCAS), Summary for Australia. ANROWS. https://www.anrows.org.au/publication/attitudes-matter-the-2021-national-community-attitudes-towards-violence-against-women-survey-ncas-summary-for-australia/read/#9_1-1-climate-of-violence-against-women</w:t>
      </w:r>
    </w:p>
    <w:p w14:paraId="00000105" w14:textId="77777777" w:rsidR="003F666B" w:rsidRDefault="008D53D9">
      <w:pPr>
        <w:spacing w:before="240" w:after="240"/>
        <w:rPr>
          <w:rFonts w:ascii="Times New Roman" w:eastAsia="Times New Roman" w:hAnsi="Times New Roman" w:cs="Times New Roman"/>
          <w:i/>
          <w:iCs/>
        </w:rPr>
      </w:pPr>
      <w:r>
        <w:rPr>
          <w:rFonts w:ascii="Times New Roman" w:eastAsia="Times New Roman" w:hAnsi="Times New Roman" w:cs="Times New Roman"/>
        </w:rPr>
        <w:t xml:space="preserve">Davies, M., Satyen, L., &amp; Toumbourou, J. W. (2026). </w:t>
      </w:r>
      <w:r>
        <w:rPr>
          <w:rFonts w:ascii="Times New Roman" w:eastAsia="Times New Roman" w:hAnsi="Times New Roman" w:cs="Times New Roman"/>
          <w:i/>
          <w:iCs/>
        </w:rPr>
        <w:t>Recovery after domestic, family and sexual violence: Impact of a holistic clinical support program on victim‑survivors</w:t>
      </w:r>
      <w:r>
        <w:rPr>
          <w:rFonts w:ascii="Times New Roman" w:eastAsia="Times New Roman" w:hAnsi="Times New Roman" w:cs="Times New Roman"/>
        </w:rPr>
        <w:t>. Frontiers in Psychology, 17, 1742876.</w:t>
      </w:r>
    </w:p>
    <w:p w14:paraId="00000106" w14:textId="6F32027D"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Dawadi, S. Shawyer, F. Callander, E. Patten, S. Johnson, B. Rosenberg, S. Lakra, V. Lin, E. Teede, H. Meadows, G. &amp; Enticott, J. (2024). </w:t>
      </w:r>
      <w:r>
        <w:rPr>
          <w:rFonts w:ascii="Times New Roman" w:eastAsia="Times New Roman" w:hAnsi="Times New Roman" w:cs="Times New Roman"/>
          <w:i/>
          <w:iCs/>
        </w:rPr>
        <w:t>Epidemiology and Psychiatric Sciences, 33</w:t>
      </w:r>
      <w:r>
        <w:rPr>
          <w:rFonts w:ascii="Times New Roman" w:eastAsia="Times New Roman" w:hAnsi="Times New Roman" w:cs="Times New Roman"/>
        </w:rPr>
        <w:t xml:space="preserve">, 1-10. </w:t>
      </w:r>
      <w:r w:rsidR="00C6442C" w:rsidRPr="00C6442C">
        <w:rPr>
          <w:rFonts w:ascii="Times New Roman" w:eastAsia="Times New Roman" w:hAnsi="Times New Roman" w:cs="Times New Roman"/>
        </w:rPr>
        <w:t>https://doi.org/10.1017/S2045796024000738</w:t>
      </w:r>
    </w:p>
    <w:p w14:paraId="35994FCF" w14:textId="77777777" w:rsidR="00C6442C" w:rsidRDefault="00C6442C">
      <w:pPr>
        <w:spacing w:before="240" w:after="240"/>
        <w:rPr>
          <w:rFonts w:ascii="Times New Roman" w:eastAsia="Times New Roman" w:hAnsi="Times New Roman" w:cs="Times New Roman"/>
        </w:rPr>
      </w:pPr>
    </w:p>
    <w:p w14:paraId="00000108" w14:textId="638115E6" w:rsidR="003F666B" w:rsidRDefault="008D53D9">
      <w:pPr>
        <w:rPr>
          <w:rFonts w:ascii="Times New Roman" w:eastAsia="Times New Roman" w:hAnsi="Times New Roman" w:cs="Times New Roman"/>
        </w:rPr>
      </w:pPr>
      <w:r>
        <w:rPr>
          <w:rFonts w:ascii="Times New Roman" w:eastAsia="Times New Roman" w:hAnsi="Times New Roman" w:cs="Times New Roman"/>
        </w:rPr>
        <w:lastRenderedPageBreak/>
        <w:t>Dheensa</w:t>
      </w:r>
      <w:r>
        <w:rPr>
          <w:rFonts w:ascii="Times New Roman" w:eastAsia="Times New Roman" w:hAnsi="Times New Roman" w:cs="Times New Roman"/>
        </w:rPr>
        <w:t xml:space="preserve">, S., Halliwell, G., Johnson, A., Henderson, J., Love, B., Radcliffe, P., Gilchrist, L. &amp; Gilchrist, G. (2021). Perspectives on Motivation and Change in an Intervention for Men Who Use Substances and Perpetrate Intimate Partner Abuse: Findings From a Qualitative Evaluation of the Advance Intervention. </w:t>
      </w:r>
      <w:r>
        <w:rPr>
          <w:rFonts w:ascii="Times New Roman" w:eastAsia="Times New Roman" w:hAnsi="Times New Roman" w:cs="Times New Roman"/>
          <w:i/>
          <w:iCs/>
        </w:rPr>
        <w:t>Journal of Interpersonal Violence</w:t>
      </w:r>
      <w:r>
        <w:rPr>
          <w:rFonts w:ascii="Times New Roman" w:eastAsia="Times New Roman" w:hAnsi="Times New Roman" w:cs="Times New Roman"/>
        </w:rPr>
        <w:t xml:space="preserve">, </w:t>
      </w:r>
      <w:r>
        <w:rPr>
          <w:rFonts w:ascii="Times New Roman" w:eastAsia="Times New Roman" w:hAnsi="Times New Roman" w:cs="Times New Roman"/>
          <w:i/>
          <w:iCs/>
        </w:rPr>
        <w:t>37</w:t>
      </w:r>
      <w:r>
        <w:rPr>
          <w:rFonts w:ascii="Times New Roman" w:eastAsia="Times New Roman" w:hAnsi="Times New Roman" w:cs="Times New Roman"/>
        </w:rPr>
        <w:t>(15-16), 13342-13372. https://doi.org/10.1177/0886260521997436</w:t>
      </w:r>
    </w:p>
    <w:p w14:paraId="0000010A" w14:textId="6A3216CE"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Dimopoulos, G. (2024, August 9). </w:t>
      </w:r>
      <w:r>
        <w:rPr>
          <w:rFonts w:ascii="Times New Roman" w:eastAsia="Times New Roman" w:hAnsi="Times New Roman" w:cs="Times New Roman"/>
          <w:i/>
          <w:iCs/>
        </w:rPr>
        <w:t>Victoria’s family violence system is failing children: new report.</w:t>
      </w:r>
      <w:r>
        <w:rPr>
          <w:rFonts w:ascii="Times New Roman" w:eastAsia="Times New Roman" w:hAnsi="Times New Roman" w:cs="Times New Roman"/>
        </w:rPr>
        <w:t xml:space="preserve"> Southern Cross University. https://www.scu.edu.au/news/2024/family-violence-system-in-victoria/</w:t>
      </w:r>
    </w:p>
    <w:p w14:paraId="0000010C" w14:textId="6C9677DC"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First Nations Advocates Against Family Violence (2026). </w:t>
      </w:r>
      <w:r>
        <w:rPr>
          <w:rFonts w:ascii="Times New Roman" w:eastAsia="Times New Roman" w:hAnsi="Times New Roman" w:cs="Times New Roman"/>
          <w:i/>
          <w:iCs/>
        </w:rPr>
        <w:t>Sector Strengthening Plan</w:t>
      </w:r>
      <w:r>
        <w:rPr>
          <w:rFonts w:ascii="Times New Roman" w:eastAsia="Times New Roman" w:hAnsi="Times New Roman" w:cs="Times New Roman"/>
        </w:rPr>
        <w:t>. https://fnaafv.org.au/sector-strengthening-plan/</w:t>
      </w:r>
    </w:p>
    <w:p w14:paraId="0000010E" w14:textId="1EA1DF83"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Gregory, A., Arai, L., MacMillan, H. L. Howarth, E. &amp; Shaw, A. (2019). Children's experiences and needs in situations of domestic violence: A secondary analysis of qualitative data from adult friends and family members of female survivors. </w:t>
      </w:r>
      <w:r>
        <w:rPr>
          <w:rFonts w:ascii="Times New Roman" w:eastAsia="Times New Roman" w:hAnsi="Times New Roman" w:cs="Times New Roman"/>
          <w:i/>
          <w:iCs/>
        </w:rPr>
        <w:t>Health &amp; Social Care in the Community, 28</w:t>
      </w:r>
      <w:r>
        <w:rPr>
          <w:rFonts w:ascii="Times New Roman" w:eastAsia="Times New Roman" w:hAnsi="Times New Roman" w:cs="Times New Roman"/>
        </w:rPr>
        <w:t>(2), 602-614. https://doi.org/10.1111/hsc.12893</w:t>
      </w:r>
    </w:p>
    <w:p w14:paraId="0000010F" w14:textId="77777777" w:rsidR="003F666B" w:rsidRDefault="008D53D9">
      <w:pPr>
        <w:rPr>
          <w:rFonts w:ascii="Times New Roman" w:eastAsia="Times New Roman" w:hAnsi="Times New Roman" w:cs="Times New Roman"/>
          <w:i/>
          <w:iCs/>
        </w:rPr>
      </w:pPr>
      <w:r>
        <w:rPr>
          <w:rFonts w:ascii="Times New Roman" w:eastAsia="Times New Roman" w:hAnsi="Times New Roman" w:cs="Times New Roman"/>
        </w:rPr>
        <w:t xml:space="preserve">Hegarty, K., McKenzie, M., McLindon, E., Addison, M., Valpied, J., Hameed, M., Kyei-Onanjiri, M., Baloch, S., Diemer, K., &amp; Tarzia, L. (2022). </w:t>
      </w:r>
      <w:r>
        <w:rPr>
          <w:rFonts w:ascii="Times New Roman" w:eastAsia="Times New Roman" w:hAnsi="Times New Roman" w:cs="Times New Roman"/>
          <w:i/>
          <w:iCs/>
        </w:rPr>
        <w:t xml:space="preserve">“I just felt like I was running around in a circle”: Listening to the voices of victims and perpetrators to transform responses to intimate partner violence </w:t>
      </w:r>
      <w:r>
        <w:rPr>
          <w:rFonts w:ascii="Times New Roman" w:eastAsia="Times New Roman" w:hAnsi="Times New Roman" w:cs="Times New Roman"/>
        </w:rPr>
        <w:t>(Research report, 22/2022). ANROWS.</w:t>
      </w:r>
    </w:p>
    <w:p w14:paraId="00000110" w14:textId="77777777" w:rsidR="003F666B" w:rsidRDefault="008D53D9">
      <w:pPr>
        <w:spacing w:before="240" w:after="240"/>
        <w:rPr>
          <w:rFonts w:ascii="Times New Roman" w:eastAsia="Times New Roman" w:hAnsi="Times New Roman" w:cs="Times New Roman"/>
          <w:i/>
          <w:iCs/>
        </w:rPr>
      </w:pPr>
      <w:r>
        <w:rPr>
          <w:rFonts w:ascii="Times New Roman" w:eastAsia="Times New Roman" w:hAnsi="Times New Roman" w:cs="Times New Roman"/>
        </w:rPr>
        <w:t xml:space="preserve">Herman, J. (2004). </w:t>
      </w:r>
      <w:r>
        <w:rPr>
          <w:rFonts w:ascii="Times New Roman" w:eastAsia="Times New Roman" w:hAnsi="Times New Roman" w:cs="Times New Roman"/>
          <w:i/>
          <w:iCs/>
        </w:rPr>
        <w:t>Trauma and Recovery.</w:t>
      </w:r>
    </w:p>
    <w:p w14:paraId="00000112" w14:textId="43087609"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Humphries, K. M., McGillivray, C. J. &amp; Christophersen, R. A. L. (2024). Proposing trauma-informed practice and response in policing: A social innovation narrative for reforming responses to child sexual abuse and exploitation. </w:t>
      </w:r>
      <w:r>
        <w:rPr>
          <w:rFonts w:ascii="Times New Roman" w:eastAsia="Times New Roman" w:hAnsi="Times New Roman" w:cs="Times New Roman"/>
          <w:i/>
          <w:iCs/>
        </w:rPr>
        <w:t>Journal of Community Safety &amp; Well-Being, 9</w:t>
      </w:r>
      <w:r>
        <w:rPr>
          <w:rFonts w:ascii="Times New Roman" w:eastAsia="Times New Roman" w:hAnsi="Times New Roman" w:cs="Times New Roman"/>
        </w:rPr>
        <w:t>(3), 164-173. https://doi.org/10.35502/jcswb.399</w:t>
      </w:r>
    </w:p>
    <w:p w14:paraId="00000114" w14:textId="36A5221E"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Jones, R., Jackson, D., Rice, K., Usher, K., Davies, R., Toole-Anstey, C. Chhabra, J., Smith, J., Morely, L., Russ, E., Statham, D. &amp; Sharma, A. (2025). Sexual Violence and Assault in Rural Australia: A Scoping Review of Regional, Rural, and Remote Contexts. </w:t>
      </w:r>
      <w:r>
        <w:rPr>
          <w:rFonts w:ascii="Times New Roman" w:eastAsia="Times New Roman" w:hAnsi="Times New Roman" w:cs="Times New Roman"/>
          <w:i/>
          <w:iCs/>
        </w:rPr>
        <w:t>Trauma, Violence, &amp; Abuse, 27</w:t>
      </w:r>
      <w:r>
        <w:rPr>
          <w:rFonts w:ascii="Times New Roman" w:eastAsia="Times New Roman" w:hAnsi="Times New Roman" w:cs="Times New Roman"/>
        </w:rPr>
        <w:t>(3), 624-641. https://doi.org/10.1177/15248380251320988</w:t>
      </w:r>
    </w:p>
    <w:p w14:paraId="00000116" w14:textId="781AB37C" w:rsidR="003F666B" w:rsidRDefault="008D53D9">
      <w:pPr>
        <w:rPr>
          <w:rFonts w:ascii="Times New Roman" w:eastAsia="Times New Roman" w:hAnsi="Times New Roman" w:cs="Times New Roman"/>
        </w:rPr>
      </w:pPr>
      <w:r>
        <w:rPr>
          <w:rFonts w:ascii="Times New Roman" w:eastAsia="Times New Roman" w:hAnsi="Times New Roman" w:cs="Times New Roman"/>
        </w:rPr>
        <w:t>Kiani, Z., Simbar, M., Fakari, F. R., Kazemi, S., Ghasemi, V., Azimi, N., Mokhhtariyan, T. &amp; Bazzazian</w:t>
      </w:r>
      <w:r>
        <w:rPr>
          <w:rFonts w:ascii="Times New Roman" w:eastAsia="Times New Roman" w:hAnsi="Times New Roman" w:cs="Times New Roman"/>
        </w:rPr>
        <w:t xml:space="preserve">, S. (2021). A systematic review: Empowerment interventions to reduce domestic violence? </w:t>
      </w:r>
      <w:r>
        <w:rPr>
          <w:rFonts w:ascii="Times New Roman" w:eastAsia="Times New Roman" w:hAnsi="Times New Roman" w:cs="Times New Roman"/>
          <w:i/>
          <w:iCs/>
        </w:rPr>
        <w:t>Aggression and Violent Behavior, 58</w:t>
      </w:r>
      <w:r>
        <w:rPr>
          <w:rFonts w:ascii="Times New Roman" w:eastAsia="Times New Roman" w:hAnsi="Times New Roman" w:cs="Times New Roman"/>
        </w:rPr>
        <w:t xml:space="preserve">, 1-9. https://doi.org/10.1016/j.avb.2021.101585 </w:t>
      </w:r>
    </w:p>
    <w:p w14:paraId="00000118" w14:textId="33648D0A"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King, R. (2024, September 18). </w:t>
      </w:r>
      <w:r>
        <w:rPr>
          <w:rFonts w:ascii="Times New Roman" w:eastAsia="Times New Roman" w:hAnsi="Times New Roman" w:cs="Times New Roman"/>
          <w:i/>
          <w:iCs/>
        </w:rPr>
        <w:t>Push to give doctors and teachers more training and support to help people experiencing family and domestic violence</w:t>
      </w:r>
      <w:r>
        <w:rPr>
          <w:rFonts w:ascii="Times New Roman" w:eastAsia="Times New Roman" w:hAnsi="Times New Roman" w:cs="Times New Roman"/>
        </w:rPr>
        <w:t>. ABC News. https://www.abc.net.au/news/2024-09-18/push-to-give-more-help-to-people-experiencing-violence/104346966</w:t>
      </w:r>
    </w:p>
    <w:p w14:paraId="00000119" w14:textId="77777777"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Laha, A. (2025). The Role of Consent Education in Preventing Sexual Violence and Promoting Healthy Relationships. </w:t>
      </w:r>
      <w:r>
        <w:rPr>
          <w:rFonts w:ascii="Times New Roman" w:eastAsia="Times New Roman" w:hAnsi="Times New Roman" w:cs="Times New Roman"/>
          <w:i/>
          <w:iCs/>
        </w:rPr>
        <w:t>Journal of Psychosexual Health</w:t>
      </w:r>
      <w:r>
        <w:rPr>
          <w:rFonts w:ascii="Times New Roman" w:eastAsia="Times New Roman" w:hAnsi="Times New Roman" w:cs="Times New Roman"/>
        </w:rPr>
        <w:t>, 8(2), 128-132. https://doi.org/10.1177/26318318251400035</w:t>
      </w:r>
    </w:p>
    <w:p w14:paraId="0000011B" w14:textId="33838F2D"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Malvaso, C., Day, A., Delfabbro, P., Cale, J., Hackett, L. &amp; Ross, S. (2022). </w:t>
      </w:r>
      <w:r>
        <w:rPr>
          <w:rFonts w:ascii="Times New Roman" w:eastAsia="Times New Roman" w:hAnsi="Times New Roman" w:cs="Times New Roman"/>
          <w:i/>
          <w:iCs/>
        </w:rPr>
        <w:t>Adverse childhood experiences and trauma among young people in the youth justice system</w:t>
      </w:r>
      <w:r>
        <w:rPr>
          <w:rFonts w:ascii="Times New Roman" w:eastAsia="Times New Roman" w:hAnsi="Times New Roman" w:cs="Times New Roman"/>
        </w:rPr>
        <w:t>. Australian Institute of Criminology. https://www.aic.gov.au/sites/default/files/2022-06/crg_1218_19_adverse_childhood_experiences_v8.pdf</w:t>
      </w:r>
    </w:p>
    <w:p w14:paraId="0000011C" w14:textId="77777777"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McCarry, M., Radford, L. &amp; Baker, V. (2021). What Helps? Mothers' and Children's Experiences of Community-Based Early Intervention Programmes for Domestic Violence. </w:t>
      </w:r>
      <w:r>
        <w:rPr>
          <w:rFonts w:ascii="Times New Roman" w:eastAsia="Times New Roman" w:hAnsi="Times New Roman" w:cs="Times New Roman"/>
          <w:i/>
          <w:iCs/>
        </w:rPr>
        <w:t>Child Abuse Review, 30</w:t>
      </w:r>
      <w:r>
        <w:rPr>
          <w:rFonts w:ascii="Times New Roman" w:eastAsia="Times New Roman" w:hAnsi="Times New Roman" w:cs="Times New Roman"/>
        </w:rPr>
        <w:t>(2), 114-129. https://doi.org/10.1002/car.2671</w:t>
      </w:r>
    </w:p>
    <w:p w14:paraId="0000011D" w14:textId="77777777" w:rsidR="003F666B" w:rsidRDefault="003F666B">
      <w:pPr>
        <w:rPr>
          <w:rFonts w:ascii="Times New Roman" w:eastAsia="Times New Roman" w:hAnsi="Times New Roman" w:cs="Times New Roman"/>
        </w:rPr>
      </w:pPr>
    </w:p>
    <w:p w14:paraId="0000011F" w14:textId="59188351" w:rsidR="003F666B" w:rsidRDefault="008D53D9">
      <w:pPr>
        <w:rPr>
          <w:rFonts w:ascii="Times New Roman" w:eastAsia="Times New Roman" w:hAnsi="Times New Roman" w:cs="Times New Roman"/>
        </w:rPr>
      </w:pPr>
      <w:r>
        <w:rPr>
          <w:rFonts w:ascii="Times New Roman" w:eastAsia="Times New Roman" w:hAnsi="Times New Roman" w:cs="Times New Roman"/>
        </w:rPr>
        <w:lastRenderedPageBreak/>
        <w:t xml:space="preserve">Meyrick, J &amp; Anning, A. (2023). Exploring the Experiences of Sexual Violence/Abuse Survivors Attending a Recovery Group: A Qualitative Study of Recovery and Evaluation Implications. </w:t>
      </w:r>
      <w:r>
        <w:rPr>
          <w:rFonts w:ascii="Times New Roman" w:eastAsia="Times New Roman" w:hAnsi="Times New Roman" w:cs="Times New Roman"/>
          <w:i/>
          <w:iCs/>
        </w:rPr>
        <w:t>Violence Against Women</w:t>
      </w:r>
      <w:r>
        <w:rPr>
          <w:rFonts w:ascii="Times New Roman" w:eastAsia="Times New Roman" w:hAnsi="Times New Roman" w:cs="Times New Roman"/>
        </w:rPr>
        <w:t xml:space="preserve">, </w:t>
      </w:r>
      <w:r>
        <w:rPr>
          <w:rFonts w:ascii="Times New Roman" w:eastAsia="Times New Roman" w:hAnsi="Times New Roman" w:cs="Times New Roman"/>
          <w:i/>
          <w:iCs/>
        </w:rPr>
        <w:t>31</w:t>
      </w:r>
      <w:r>
        <w:rPr>
          <w:rFonts w:ascii="Times New Roman" w:eastAsia="Times New Roman" w:hAnsi="Times New Roman" w:cs="Times New Roman"/>
        </w:rPr>
        <w:t>(1), 245-265. https://doi.org/10.1177/10778012231202999</w:t>
      </w:r>
    </w:p>
    <w:p w14:paraId="00000121" w14:textId="1C72AFB1"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Mshweshwe, L. (2020). Understanding domestic violence: masculinity, culture, traditions. </w:t>
      </w:r>
      <w:r>
        <w:rPr>
          <w:rFonts w:ascii="Times New Roman" w:eastAsia="Times New Roman" w:hAnsi="Times New Roman" w:cs="Times New Roman"/>
          <w:i/>
          <w:iCs/>
        </w:rPr>
        <w:t>Heliyon</w:t>
      </w:r>
      <w:r>
        <w:rPr>
          <w:rFonts w:ascii="Times New Roman" w:eastAsia="Times New Roman" w:hAnsi="Times New Roman" w:cs="Times New Roman"/>
        </w:rPr>
        <w:t xml:space="preserve">, </w:t>
      </w:r>
      <w:r>
        <w:rPr>
          <w:rFonts w:ascii="Times New Roman" w:eastAsia="Times New Roman" w:hAnsi="Times New Roman" w:cs="Times New Roman"/>
          <w:i/>
          <w:iCs/>
        </w:rPr>
        <w:t>6</w:t>
      </w:r>
      <w:r>
        <w:rPr>
          <w:rFonts w:ascii="Times New Roman" w:eastAsia="Times New Roman" w:hAnsi="Times New Roman" w:cs="Times New Roman"/>
        </w:rPr>
        <w:t>(10), 1-5. https://doi.org/10.1016/j.heliyon.2020.e05334</w:t>
      </w:r>
    </w:p>
    <w:p w14:paraId="00000123" w14:textId="76CAD70A"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Ogilvie, J., Thomsen, L., Barton, J., Harris D. A., Rynne, J. &amp; O'Leary, P. (2022). </w:t>
      </w:r>
      <w:r>
        <w:rPr>
          <w:rFonts w:ascii="Times New Roman" w:eastAsia="Times New Roman" w:hAnsi="Times New Roman" w:cs="Times New Roman"/>
          <w:i/>
          <w:iCs/>
        </w:rPr>
        <w:t>Adverse childhood experiences among youth who offend: Examining exposure to domestic and family violence for male youth who perpetrate sexual harm and violence.</w:t>
      </w:r>
      <w:r>
        <w:rPr>
          <w:rFonts w:ascii="Times New Roman" w:eastAsia="Times New Roman" w:hAnsi="Times New Roman" w:cs="Times New Roman"/>
        </w:rPr>
        <w:t xml:space="preserve"> ANROWS. https://anrows-2019.s3.ap-southeast-2.amazonaws.com/wp-content/uploads/2022/07/01095947/RP.20.07-RynneRR2-Young-men-HSB.pdf</w:t>
      </w:r>
    </w:p>
    <w:p w14:paraId="00000124" w14:textId="77777777"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Osuagwu, U. L. &amp; Vines, R. (2025). Service Providers' Perspectives on Delivering Support for Domestic Violence Victims in Rural New South Wales. Inquiry: </w:t>
      </w:r>
      <w:r>
        <w:rPr>
          <w:rFonts w:ascii="Times New Roman" w:eastAsia="Times New Roman" w:hAnsi="Times New Roman" w:cs="Times New Roman"/>
          <w:i/>
          <w:iCs/>
        </w:rPr>
        <w:t>The Journal of Health Care Organization, Provision, and Financing, 62</w:t>
      </w:r>
      <w:r>
        <w:rPr>
          <w:rFonts w:ascii="Times New Roman" w:eastAsia="Times New Roman" w:hAnsi="Times New Roman" w:cs="Times New Roman"/>
        </w:rPr>
        <w:t>. https://doi.org/10.1177/00469580251366958</w:t>
      </w:r>
    </w:p>
    <w:p w14:paraId="00000125" w14:textId="77777777" w:rsidR="003F666B" w:rsidRDefault="008D53D9">
      <w:pPr>
        <w:spacing w:before="240" w:after="240"/>
        <w:rPr>
          <w:rFonts w:ascii="Times New Roman" w:eastAsia="Times New Roman" w:hAnsi="Times New Roman" w:cs="Times New Roman"/>
          <w:i/>
          <w:iCs/>
        </w:rPr>
      </w:pPr>
      <w:r>
        <w:rPr>
          <w:rFonts w:ascii="Times New Roman" w:eastAsia="Times New Roman" w:hAnsi="Times New Roman" w:cs="Times New Roman"/>
        </w:rPr>
        <w:t xml:space="preserve">Our Ways – Strong Ways – Our Voices (2023). </w:t>
      </w:r>
      <w:r>
        <w:rPr>
          <w:rFonts w:ascii="Times New Roman" w:eastAsia="Times New Roman" w:hAnsi="Times New Roman" w:cs="Times New Roman"/>
          <w:i/>
          <w:iCs/>
        </w:rPr>
        <w:t>Aboriginal and Torres Strait Islander Action Plan.</w:t>
      </w:r>
    </w:p>
    <w:p w14:paraId="00000127" w14:textId="5EA88E3F" w:rsidR="003F666B" w:rsidRDefault="008D53D9">
      <w:pPr>
        <w:spacing w:line="240" w:lineRule="auto"/>
        <w:rPr>
          <w:rFonts w:ascii="Times New Roman" w:eastAsia="Times New Roman" w:hAnsi="Times New Roman" w:cs="Times New Roman"/>
        </w:rPr>
      </w:pPr>
      <w:r>
        <w:rPr>
          <w:rFonts w:ascii="Times New Roman" w:eastAsia="Times New Roman" w:hAnsi="Times New Roman" w:cs="Times New Roman"/>
        </w:rPr>
        <w:t xml:space="preserve">Safe and Equal. (2025). </w:t>
      </w:r>
      <w:r>
        <w:rPr>
          <w:rFonts w:ascii="Times New Roman" w:eastAsia="Times New Roman" w:hAnsi="Times New Roman" w:cs="Times New Roman"/>
          <w:i/>
          <w:iCs/>
        </w:rPr>
        <w:t xml:space="preserve">Early intervention in family and genderbased violence: Scoping paper. </w:t>
      </w:r>
      <w:r>
        <w:rPr>
          <w:rFonts w:ascii="Times New Roman" w:eastAsia="Times New Roman" w:hAnsi="Times New Roman" w:cs="Times New Roman"/>
        </w:rPr>
        <w:t>https://safeandequal.org.au/wp-content/uploads/Early-Intervention-in-family-and-gender-based-violence_Safe-and-Equal-Scoping-Paper_FINALv2.pdf</w:t>
      </w:r>
    </w:p>
    <w:p w14:paraId="00000129" w14:textId="0365EB38" w:rsidR="003F666B" w:rsidRDefault="008D53D9">
      <w:pPr>
        <w:rPr>
          <w:rFonts w:ascii="Times New Roman" w:eastAsia="Times New Roman" w:hAnsi="Times New Roman" w:cs="Times New Roman"/>
        </w:rPr>
      </w:pPr>
      <w:r>
        <w:rPr>
          <w:rFonts w:ascii="Times New Roman" w:eastAsia="Times New Roman" w:hAnsi="Times New Roman" w:cs="Times New Roman"/>
        </w:rPr>
        <w:t xml:space="preserve">Satyen, L., Sharda, A. &amp; Robinson, C. (2025). “You feel like an individual who matters”- the Beyond DV Recovery Pillars framework: its impact on the recovery and healing of victim-survivors of domestic, family and sexual violence. </w:t>
      </w:r>
      <w:r>
        <w:rPr>
          <w:rFonts w:ascii="Times New Roman" w:eastAsia="Times New Roman" w:hAnsi="Times New Roman" w:cs="Times New Roman"/>
          <w:i/>
          <w:iCs/>
        </w:rPr>
        <w:t>BMC Public Health, 25</w:t>
      </w:r>
      <w:r>
        <w:rPr>
          <w:rFonts w:ascii="Times New Roman" w:eastAsia="Times New Roman" w:hAnsi="Times New Roman" w:cs="Times New Roman"/>
        </w:rPr>
        <w:t>(1), 4119-4131. https://doi.org/10.1186/s12889-025-25458-2</w:t>
      </w:r>
    </w:p>
    <w:p w14:paraId="0000012A" w14:textId="77777777" w:rsidR="003F666B" w:rsidRDefault="008D53D9">
      <w:pPr>
        <w:rPr>
          <w:rFonts w:ascii="Times New Roman" w:eastAsia="Times New Roman" w:hAnsi="Times New Roman" w:cs="Times New Roman"/>
          <w:i/>
          <w:iCs/>
        </w:rPr>
      </w:pPr>
      <w:r>
        <w:rPr>
          <w:rFonts w:ascii="Times New Roman" w:eastAsia="Times New Roman" w:hAnsi="Times New Roman" w:cs="Times New Roman"/>
        </w:rPr>
        <w:t xml:space="preserve">SDG Accountability Handbook. (2019). </w:t>
      </w:r>
      <w:r>
        <w:rPr>
          <w:rFonts w:ascii="Times New Roman" w:eastAsia="Times New Roman" w:hAnsi="Times New Roman" w:cs="Times New Roman"/>
          <w:i/>
          <w:iCs/>
        </w:rPr>
        <w:t>Raising Awareness through Public Outreach Campaigns.</w:t>
      </w:r>
      <w:r>
        <w:rPr>
          <w:rFonts w:ascii="Times New Roman" w:eastAsia="Times New Roman" w:hAnsi="Times New Roman" w:cs="Times New Roman"/>
        </w:rPr>
        <w:t xml:space="preserve"> https://sdgaccountability.org/wp-content/uploads/2019/05/Raising-Awareness.pdf</w:t>
      </w:r>
    </w:p>
    <w:p w14:paraId="0000012B"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Sullivan, C. M., Goodman, L. A., Virden, T., Strom, J &amp; Ramirez, R. (2018). Evaluation of the effects of receiving trauma-informed practices on domestic violence shelter residents. </w:t>
      </w:r>
      <w:r>
        <w:rPr>
          <w:rFonts w:ascii="Times New Roman" w:eastAsia="Times New Roman" w:hAnsi="Times New Roman" w:cs="Times New Roman"/>
          <w:i/>
          <w:iCs/>
        </w:rPr>
        <w:t>American Journal of Orthopsychiatry, 88</w:t>
      </w:r>
      <w:r>
        <w:rPr>
          <w:rFonts w:ascii="Times New Roman" w:eastAsia="Times New Roman" w:hAnsi="Times New Roman" w:cs="Times New Roman"/>
        </w:rPr>
        <w:t>(5), 563-570. https://doi.org/10.1037/ort0000286</w:t>
      </w:r>
    </w:p>
    <w:p w14:paraId="0000012C"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Thomas, J., Wise, P., Milward, K., Bagot, C., Wright, R., Newman, G. &amp; Hart, E. (2023). Aboriginal Family Violence Prevention Evidence Review. URBIS. https://www.respectvictoria.vic.gov.au/sites/default/files/documents/202305/Aboriginal%20Family%20Violence%20Prevention%20Evidence%20Review.pdf</w:t>
      </w:r>
    </w:p>
    <w:p w14:paraId="0000012D" w14:textId="77777777" w:rsidR="003F666B" w:rsidRDefault="008D53D9">
      <w:pPr>
        <w:spacing w:line="240" w:lineRule="auto"/>
        <w:rPr>
          <w:rFonts w:ascii="Times New Roman" w:eastAsia="Times New Roman" w:hAnsi="Times New Roman" w:cs="Times New Roman"/>
          <w:i/>
          <w:iCs/>
        </w:rPr>
      </w:pPr>
      <w:r>
        <w:rPr>
          <w:rFonts w:ascii="Times New Roman" w:eastAsia="Times New Roman" w:hAnsi="Times New Roman" w:cs="Times New Roman"/>
        </w:rPr>
        <w:t xml:space="preserve">Wilson, C. (2026, July 7). </w:t>
      </w:r>
      <w:r>
        <w:rPr>
          <w:rFonts w:ascii="Times New Roman" w:eastAsia="Times New Roman" w:hAnsi="Times New Roman" w:cs="Times New Roman"/>
          <w:i/>
          <w:iCs/>
        </w:rPr>
        <w:t>One in 25 teens affected by AI-assisted online sexual abuse, study finds.</w:t>
      </w:r>
      <w:r>
        <w:rPr>
          <w:rFonts w:ascii="Times New Roman" w:eastAsia="Times New Roman" w:hAnsi="Times New Roman" w:cs="Times New Roman"/>
        </w:rPr>
        <w:t xml:space="preserve"> ABC News. https://www.abc.net.au/news/2026-07-07/1-in-25-children-targeted-with-ai-sexual-imagery/106878000</w:t>
      </w:r>
    </w:p>
    <w:p w14:paraId="0000012E" w14:textId="77777777" w:rsidR="003F666B" w:rsidRDefault="008D53D9">
      <w:pPr>
        <w:spacing w:before="240" w:after="240"/>
        <w:rPr>
          <w:rFonts w:ascii="Times New Roman" w:eastAsia="Times New Roman" w:hAnsi="Times New Roman" w:cs="Times New Roman"/>
        </w:rPr>
      </w:pPr>
      <w:r>
        <w:rPr>
          <w:rFonts w:ascii="Times New Roman" w:eastAsia="Times New Roman" w:hAnsi="Times New Roman" w:cs="Times New Roman"/>
        </w:rPr>
        <w:t xml:space="preserve">World Health Organization (2024). </w:t>
      </w:r>
      <w:r>
        <w:rPr>
          <w:rFonts w:ascii="Times New Roman" w:eastAsia="Times New Roman" w:hAnsi="Times New Roman" w:cs="Times New Roman"/>
          <w:i/>
          <w:iCs/>
        </w:rPr>
        <w:t>Violence Against Women: Fact Sheet.</w:t>
      </w:r>
    </w:p>
    <w:p w14:paraId="0000012F" w14:textId="77777777" w:rsidR="003F666B" w:rsidRDefault="003F666B">
      <w:pPr>
        <w:rPr>
          <w:rFonts w:ascii="Times New Roman" w:eastAsia="Times New Roman" w:hAnsi="Times New Roman" w:cs="Times New Roman"/>
        </w:rPr>
      </w:pPr>
    </w:p>
    <w:p w14:paraId="00000130" w14:textId="77777777" w:rsidR="003F666B" w:rsidRDefault="003F666B">
      <w:pPr>
        <w:spacing w:line="240" w:lineRule="auto"/>
        <w:rPr>
          <w:rFonts w:ascii="Times New Roman" w:eastAsia="Times New Roman" w:hAnsi="Times New Roman" w:cs="Times New Roman"/>
        </w:rPr>
      </w:pPr>
    </w:p>
    <w:p w14:paraId="00000131" w14:textId="77777777" w:rsidR="003F666B" w:rsidRDefault="003F666B">
      <w:pPr>
        <w:spacing w:line="240" w:lineRule="auto"/>
        <w:rPr>
          <w:rFonts w:ascii="Times New Roman" w:eastAsia="Times New Roman" w:hAnsi="Times New Roman" w:cs="Times New Roman"/>
        </w:rPr>
      </w:pPr>
    </w:p>
    <w:p w14:paraId="00000132" w14:textId="77777777" w:rsidR="003F666B" w:rsidRDefault="003F666B">
      <w:pPr>
        <w:spacing w:line="240" w:lineRule="auto"/>
        <w:rPr>
          <w:rFonts w:ascii="Times New Roman" w:eastAsia="Times New Roman" w:hAnsi="Times New Roman" w:cs="Times New Roman"/>
        </w:rPr>
      </w:pPr>
    </w:p>
    <w:sectPr w:rsidR="003F666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3C1C" w14:textId="77777777" w:rsidR="008D53D9" w:rsidRDefault="008D53D9" w:rsidP="00363C87">
      <w:pPr>
        <w:spacing w:after="0" w:line="240" w:lineRule="auto"/>
      </w:pPr>
      <w:r>
        <w:separator/>
      </w:r>
    </w:p>
  </w:endnote>
  <w:endnote w:type="continuationSeparator" w:id="0">
    <w:p w14:paraId="4EAF8F2F" w14:textId="77777777" w:rsidR="008D53D9" w:rsidRDefault="008D53D9" w:rsidP="0036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EC54DD46-E84A-499D-AF2B-37C90275C70E}"/>
    <w:embedBold r:id="rId2" w:fontKey="{FBB56B77-6EB2-4995-9F31-C71FB1DF0475}"/>
    <w:embedItalic r:id="rId3" w:fontKey="{82E5E5B0-C5A5-4011-ACBD-6C8476F3B8DB}"/>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2990F64-68A4-419E-A132-AE6B8B0FD9A6}"/>
    <w:embedItalic r:id="rId5" w:fontKey="{8B7D9161-0DBA-4E2D-A53A-E9E2326043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752702"/>
      <w:docPartObj>
        <w:docPartGallery w:val="Page Numbers (Bottom of Page)"/>
        <w:docPartUnique/>
      </w:docPartObj>
    </w:sdtPr>
    <w:sdtEndPr>
      <w:rPr>
        <w:rFonts w:ascii="Times New Roman" w:hAnsi="Times New Roman" w:cs="Times New Roman"/>
        <w:noProof/>
      </w:rPr>
    </w:sdtEndPr>
    <w:sdtContent>
      <w:p w14:paraId="6D542595" w14:textId="7FD71398" w:rsidR="00413FFE" w:rsidRDefault="00413FFE">
        <w:pPr>
          <w:pStyle w:val="Footer"/>
          <w:jc w:val="right"/>
        </w:pPr>
        <w:r w:rsidRPr="00413FFE">
          <w:rPr>
            <w:noProof/>
          </w:rPr>
          <w:drawing>
            <wp:anchor distT="0" distB="0" distL="114300" distR="114300" simplePos="0" relativeHeight="251658240" behindDoc="1" locked="0" layoutInCell="1" allowOverlap="1" wp14:anchorId="2B6B7D33" wp14:editId="0D57A7EA">
              <wp:simplePos x="0" y="0"/>
              <wp:positionH relativeFrom="column">
                <wp:posOffset>-671384</wp:posOffset>
              </wp:positionH>
              <wp:positionV relativeFrom="paragraph">
                <wp:posOffset>64968</wp:posOffset>
              </wp:positionV>
              <wp:extent cx="1234440" cy="1092200"/>
              <wp:effectExtent l="0" t="0" r="3810" b="0"/>
              <wp:wrapTight wrapText="bothSides">
                <wp:wrapPolygon edited="0">
                  <wp:start x="0" y="0"/>
                  <wp:lineTo x="0" y="21098"/>
                  <wp:lineTo x="21333" y="21098"/>
                  <wp:lineTo x="21333" y="0"/>
                  <wp:lineTo x="0" y="0"/>
                </wp:wrapPolygon>
              </wp:wrapTight>
              <wp:docPr id="1540987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87814" name=""/>
                      <pic:cNvPicPr/>
                    </pic:nvPicPr>
                    <pic:blipFill>
                      <a:blip r:embed="rId1">
                        <a:extLst>
                          <a:ext uri="{28A0092B-C50C-407E-A947-70E740481C1C}">
                            <a14:useLocalDpi xmlns:a14="http://schemas.microsoft.com/office/drawing/2010/main" val="0"/>
                          </a:ext>
                        </a:extLst>
                      </a:blip>
                      <a:stretch>
                        <a:fillRect/>
                      </a:stretch>
                    </pic:blipFill>
                    <pic:spPr>
                      <a:xfrm>
                        <a:off x="0" y="0"/>
                        <a:ext cx="1234440" cy="1092200"/>
                      </a:xfrm>
                      <a:prstGeom prst="rect">
                        <a:avLst/>
                      </a:prstGeom>
                    </pic:spPr>
                  </pic:pic>
                </a:graphicData>
              </a:graphic>
              <wp14:sizeRelH relativeFrom="margin">
                <wp14:pctWidth>0</wp14:pctWidth>
              </wp14:sizeRelH>
              <wp14:sizeRelV relativeFrom="margin">
                <wp14:pctHeight>0</wp14:pctHeight>
              </wp14:sizeRelV>
            </wp:anchor>
          </w:drawing>
        </w:r>
      </w:p>
      <w:p w14:paraId="45B39E10" w14:textId="77777777" w:rsidR="00413FFE" w:rsidRDefault="00413FFE">
        <w:pPr>
          <w:pStyle w:val="Footer"/>
          <w:jc w:val="right"/>
        </w:pPr>
      </w:p>
      <w:p w14:paraId="1B3376F9" w14:textId="77777777" w:rsidR="00413FFE" w:rsidRDefault="00413FFE">
        <w:pPr>
          <w:pStyle w:val="Footer"/>
          <w:jc w:val="right"/>
        </w:pPr>
      </w:p>
      <w:p w14:paraId="427C5D1F" w14:textId="77777777" w:rsidR="00413FFE" w:rsidRDefault="00413FFE">
        <w:pPr>
          <w:pStyle w:val="Footer"/>
          <w:jc w:val="right"/>
        </w:pPr>
      </w:p>
      <w:p w14:paraId="08FBDAFD" w14:textId="7038A424" w:rsidR="00413FFE" w:rsidRDefault="00413FFE">
        <w:pPr>
          <w:pStyle w:val="Footer"/>
          <w:jc w:val="right"/>
        </w:pPr>
      </w:p>
      <w:p w14:paraId="7DF1C6E8" w14:textId="263FFCEF" w:rsidR="00363C87" w:rsidRPr="00363C87" w:rsidRDefault="00363C87">
        <w:pPr>
          <w:pStyle w:val="Footer"/>
          <w:jc w:val="right"/>
          <w:rPr>
            <w:rFonts w:ascii="Times New Roman" w:hAnsi="Times New Roman" w:cs="Times New Roman"/>
          </w:rPr>
        </w:pPr>
        <w:r w:rsidRPr="00363C87">
          <w:rPr>
            <w:rFonts w:ascii="Times New Roman" w:hAnsi="Times New Roman" w:cs="Times New Roman"/>
          </w:rPr>
          <w:fldChar w:fldCharType="begin"/>
        </w:r>
        <w:r w:rsidRPr="00363C87">
          <w:rPr>
            <w:rFonts w:ascii="Times New Roman" w:hAnsi="Times New Roman" w:cs="Times New Roman"/>
          </w:rPr>
          <w:instrText xml:space="preserve"> PAGE   \* MERGEFORMAT </w:instrText>
        </w:r>
        <w:r w:rsidRPr="00363C87">
          <w:rPr>
            <w:rFonts w:ascii="Times New Roman" w:hAnsi="Times New Roman" w:cs="Times New Roman"/>
          </w:rPr>
          <w:fldChar w:fldCharType="separate"/>
        </w:r>
        <w:r w:rsidRPr="00363C87">
          <w:rPr>
            <w:rFonts w:ascii="Times New Roman" w:hAnsi="Times New Roman" w:cs="Times New Roman"/>
            <w:noProof/>
          </w:rPr>
          <w:t>2</w:t>
        </w:r>
        <w:r w:rsidRPr="00363C87">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48B15" w14:textId="77777777" w:rsidR="008D53D9" w:rsidRDefault="008D53D9" w:rsidP="00363C87">
      <w:pPr>
        <w:spacing w:after="0" w:line="240" w:lineRule="auto"/>
      </w:pPr>
      <w:r>
        <w:separator/>
      </w:r>
    </w:p>
  </w:footnote>
  <w:footnote w:type="continuationSeparator" w:id="0">
    <w:p w14:paraId="3E64CF71" w14:textId="77777777" w:rsidR="008D53D9" w:rsidRDefault="008D53D9" w:rsidP="00363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A5473" w14:textId="44798B52" w:rsidR="00363C87" w:rsidRDefault="00363C87">
    <w:pPr>
      <w:pStyle w:val="Header"/>
      <w:jc w:val="right"/>
    </w:pPr>
  </w:p>
  <w:p w14:paraId="6945A6AD" w14:textId="77777777" w:rsidR="00363C87" w:rsidRDefault="00363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28DA" w14:textId="386FCF10" w:rsidR="00363C87" w:rsidRDefault="00363C87">
    <w:pPr>
      <w:pStyle w:val="Header"/>
      <w:jc w:val="right"/>
    </w:pPr>
  </w:p>
  <w:p w14:paraId="7B5B25AF" w14:textId="77777777" w:rsidR="00363C87" w:rsidRDefault="00363C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66B"/>
    <w:rsid w:val="0001777F"/>
    <w:rsid w:val="00081D8A"/>
    <w:rsid w:val="000B6420"/>
    <w:rsid w:val="001130F2"/>
    <w:rsid w:val="00116282"/>
    <w:rsid w:val="00164D5C"/>
    <w:rsid w:val="00263DB2"/>
    <w:rsid w:val="002B5135"/>
    <w:rsid w:val="00345839"/>
    <w:rsid w:val="00363C87"/>
    <w:rsid w:val="00370632"/>
    <w:rsid w:val="0038552D"/>
    <w:rsid w:val="003F666B"/>
    <w:rsid w:val="00413FFE"/>
    <w:rsid w:val="00436CD1"/>
    <w:rsid w:val="004650D3"/>
    <w:rsid w:val="0053000B"/>
    <w:rsid w:val="00576E23"/>
    <w:rsid w:val="00590ED5"/>
    <w:rsid w:val="005B3CCF"/>
    <w:rsid w:val="00670A7E"/>
    <w:rsid w:val="006857B2"/>
    <w:rsid w:val="00703A84"/>
    <w:rsid w:val="007C0657"/>
    <w:rsid w:val="007F1B7D"/>
    <w:rsid w:val="00875FDA"/>
    <w:rsid w:val="00891888"/>
    <w:rsid w:val="008D53D9"/>
    <w:rsid w:val="00970D37"/>
    <w:rsid w:val="00A060E2"/>
    <w:rsid w:val="00A26910"/>
    <w:rsid w:val="00A61D6E"/>
    <w:rsid w:val="00AA774B"/>
    <w:rsid w:val="00AD0EB2"/>
    <w:rsid w:val="00AE5061"/>
    <w:rsid w:val="00B54AF4"/>
    <w:rsid w:val="00C6442C"/>
    <w:rsid w:val="00C76530"/>
    <w:rsid w:val="00CB18C5"/>
    <w:rsid w:val="00CF296D"/>
    <w:rsid w:val="00D64AF0"/>
    <w:rsid w:val="00E262EA"/>
    <w:rsid w:val="00E95D03"/>
    <w:rsid w:val="00F26C1A"/>
    <w:rsid w:val="00F3717F"/>
    <w:rsid w:val="00F9272E"/>
    <w:rsid w:val="00FA0A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B2734"/>
  <w15:docId w15:val="{02B87E40-6CFE-49AB-BACA-B9818CF5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 w:eastAsia="en-AU"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A84"/>
  </w:style>
  <w:style w:type="paragraph" w:styleId="Heading1">
    <w:name w:val="heading 1"/>
    <w:basedOn w:val="Normal"/>
    <w:next w:val="Normal"/>
    <w:link w:val="Heading1Char"/>
    <w:uiPriority w:val="9"/>
    <w:qFormat/>
    <w:rsid w:val="00703A84"/>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Heading2">
    <w:name w:val="heading 2"/>
    <w:basedOn w:val="Normal"/>
    <w:next w:val="Normal"/>
    <w:link w:val="Heading2Char"/>
    <w:uiPriority w:val="9"/>
    <w:unhideWhenUsed/>
    <w:qFormat/>
    <w:rsid w:val="00703A84"/>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703A8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703A8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703A8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703A8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703A8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703A8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703A8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703A84"/>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paragraph" w:styleId="Subtitle">
    <w:name w:val="Subtitle"/>
    <w:basedOn w:val="Normal"/>
    <w:next w:val="Normal"/>
    <w:link w:val="SubtitleChar"/>
    <w:uiPriority w:val="11"/>
    <w:qFormat/>
    <w:rsid w:val="00703A84"/>
    <w:pPr>
      <w:numPr>
        <w:ilvl w:val="1"/>
      </w:numPr>
      <w:spacing w:after="240" w:line="240" w:lineRule="auto"/>
    </w:pPr>
    <w:rPr>
      <w:rFonts w:asciiTheme="majorHAnsi" w:eastAsiaTheme="majorEastAsia" w:hAnsiTheme="majorHAnsi" w:cstheme="majorBidi"/>
      <w:color w:val="404040" w:themeColor="text1" w:themeTint="BF"/>
      <w:sz w:val="30"/>
      <w:szCs w:val="30"/>
    </w:rPr>
  </w:style>
  <w:style w:type="paragraph" w:styleId="NoSpacing">
    <w:name w:val="No Spacing"/>
    <w:link w:val="NoSpacingChar"/>
    <w:uiPriority w:val="1"/>
    <w:qFormat/>
    <w:rsid w:val="00703A84"/>
    <w:pPr>
      <w:spacing w:after="0" w:line="240" w:lineRule="auto"/>
    </w:pPr>
  </w:style>
  <w:style w:type="character" w:customStyle="1" w:styleId="NoSpacingChar">
    <w:name w:val="No Spacing Char"/>
    <w:basedOn w:val="DefaultParagraphFont"/>
    <w:link w:val="NoSpacing"/>
    <w:uiPriority w:val="1"/>
    <w:rsid w:val="00703A84"/>
  </w:style>
  <w:style w:type="character" w:customStyle="1" w:styleId="Heading1Char">
    <w:name w:val="Heading 1 Char"/>
    <w:basedOn w:val="DefaultParagraphFont"/>
    <w:link w:val="Heading1"/>
    <w:uiPriority w:val="9"/>
    <w:rsid w:val="00703A84"/>
    <w:rPr>
      <w:rFonts w:asciiTheme="majorHAnsi" w:eastAsiaTheme="majorEastAsia" w:hAnsiTheme="majorHAnsi" w:cstheme="majorBidi"/>
      <w:color w:val="365F91" w:themeColor="accent1" w:themeShade="BF"/>
      <w:sz w:val="36"/>
      <w:szCs w:val="36"/>
    </w:rPr>
  </w:style>
  <w:style w:type="character" w:customStyle="1" w:styleId="Heading2Char">
    <w:name w:val="Heading 2 Char"/>
    <w:basedOn w:val="DefaultParagraphFont"/>
    <w:link w:val="Heading2"/>
    <w:uiPriority w:val="9"/>
    <w:rsid w:val="00703A84"/>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703A84"/>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703A8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703A8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703A8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703A8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703A8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703A84"/>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703A84"/>
    <w:pPr>
      <w:spacing w:line="240" w:lineRule="auto"/>
    </w:pPr>
    <w:rPr>
      <w:b/>
      <w:bCs/>
      <w:color w:val="404040" w:themeColor="text1" w:themeTint="BF"/>
      <w:sz w:val="20"/>
      <w:szCs w:val="20"/>
    </w:rPr>
  </w:style>
  <w:style w:type="character" w:customStyle="1" w:styleId="TitleChar">
    <w:name w:val="Title Char"/>
    <w:basedOn w:val="DefaultParagraphFont"/>
    <w:link w:val="Title"/>
    <w:uiPriority w:val="10"/>
    <w:rsid w:val="00703A84"/>
    <w:rPr>
      <w:rFonts w:asciiTheme="majorHAnsi" w:eastAsiaTheme="majorEastAsia" w:hAnsiTheme="majorHAnsi" w:cstheme="majorBidi"/>
      <w:color w:val="365F91" w:themeColor="accent1" w:themeShade="BF"/>
      <w:spacing w:val="-7"/>
      <w:sz w:val="80"/>
      <w:szCs w:val="80"/>
    </w:rPr>
  </w:style>
  <w:style w:type="character" w:customStyle="1" w:styleId="SubtitleChar">
    <w:name w:val="Subtitle Char"/>
    <w:basedOn w:val="DefaultParagraphFont"/>
    <w:link w:val="Subtitle"/>
    <w:uiPriority w:val="11"/>
    <w:rsid w:val="00703A84"/>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703A84"/>
    <w:rPr>
      <w:b/>
      <w:bCs/>
    </w:rPr>
  </w:style>
  <w:style w:type="character" w:styleId="Emphasis">
    <w:name w:val="Emphasis"/>
    <w:basedOn w:val="DefaultParagraphFont"/>
    <w:uiPriority w:val="20"/>
    <w:qFormat/>
    <w:rsid w:val="00703A84"/>
    <w:rPr>
      <w:i/>
      <w:iCs/>
    </w:rPr>
  </w:style>
  <w:style w:type="paragraph" w:styleId="Quote">
    <w:name w:val="Quote"/>
    <w:basedOn w:val="Normal"/>
    <w:next w:val="Normal"/>
    <w:link w:val="QuoteChar"/>
    <w:uiPriority w:val="29"/>
    <w:qFormat/>
    <w:rsid w:val="00703A8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703A84"/>
    <w:rPr>
      <w:i/>
      <w:iCs/>
    </w:rPr>
  </w:style>
  <w:style w:type="paragraph" w:styleId="IntenseQuote">
    <w:name w:val="Intense Quote"/>
    <w:basedOn w:val="Normal"/>
    <w:next w:val="Normal"/>
    <w:link w:val="IntenseQuoteChar"/>
    <w:uiPriority w:val="30"/>
    <w:qFormat/>
    <w:rsid w:val="00703A84"/>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703A84"/>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703A84"/>
    <w:rPr>
      <w:i/>
      <w:iCs/>
      <w:color w:val="595959" w:themeColor="text1" w:themeTint="A6"/>
    </w:rPr>
  </w:style>
  <w:style w:type="character" w:styleId="IntenseEmphasis">
    <w:name w:val="Intense Emphasis"/>
    <w:basedOn w:val="DefaultParagraphFont"/>
    <w:uiPriority w:val="21"/>
    <w:qFormat/>
    <w:rsid w:val="00703A84"/>
    <w:rPr>
      <w:b/>
      <w:bCs/>
      <w:i/>
      <w:iCs/>
    </w:rPr>
  </w:style>
  <w:style w:type="character" w:styleId="SubtleReference">
    <w:name w:val="Subtle Reference"/>
    <w:basedOn w:val="DefaultParagraphFont"/>
    <w:uiPriority w:val="31"/>
    <w:qFormat/>
    <w:rsid w:val="00703A84"/>
    <w:rPr>
      <w:smallCaps/>
      <w:color w:val="404040" w:themeColor="text1" w:themeTint="BF"/>
    </w:rPr>
  </w:style>
  <w:style w:type="character" w:styleId="IntenseReference">
    <w:name w:val="Intense Reference"/>
    <w:basedOn w:val="DefaultParagraphFont"/>
    <w:uiPriority w:val="32"/>
    <w:qFormat/>
    <w:rsid w:val="00703A84"/>
    <w:rPr>
      <w:b/>
      <w:bCs/>
      <w:smallCaps/>
      <w:u w:val="single"/>
    </w:rPr>
  </w:style>
  <w:style w:type="character" w:styleId="BookTitle">
    <w:name w:val="Book Title"/>
    <w:basedOn w:val="DefaultParagraphFont"/>
    <w:uiPriority w:val="33"/>
    <w:qFormat/>
    <w:rsid w:val="00703A84"/>
    <w:rPr>
      <w:b/>
      <w:bCs/>
      <w:smallCaps/>
    </w:rPr>
  </w:style>
  <w:style w:type="paragraph" w:styleId="TOCHeading">
    <w:name w:val="TOC Heading"/>
    <w:basedOn w:val="Heading1"/>
    <w:next w:val="Normal"/>
    <w:uiPriority w:val="39"/>
    <w:semiHidden/>
    <w:unhideWhenUsed/>
    <w:qFormat/>
    <w:rsid w:val="00703A84"/>
    <w:pPr>
      <w:outlineLvl w:val="9"/>
    </w:pPr>
  </w:style>
  <w:style w:type="paragraph" w:styleId="Header">
    <w:name w:val="header"/>
    <w:basedOn w:val="Normal"/>
    <w:link w:val="HeaderChar"/>
    <w:uiPriority w:val="99"/>
    <w:unhideWhenUsed/>
    <w:rsid w:val="00363C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C87"/>
  </w:style>
  <w:style w:type="paragraph" w:styleId="Footer">
    <w:name w:val="footer"/>
    <w:basedOn w:val="Normal"/>
    <w:link w:val="FooterChar"/>
    <w:uiPriority w:val="99"/>
    <w:unhideWhenUsed/>
    <w:rsid w:val="00363C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C87"/>
  </w:style>
  <w:style w:type="character" w:styleId="Hyperlink">
    <w:name w:val="Hyperlink"/>
    <w:basedOn w:val="DefaultParagraphFont"/>
    <w:uiPriority w:val="99"/>
    <w:unhideWhenUsed/>
    <w:rsid w:val="00C6442C"/>
    <w:rPr>
      <w:color w:val="0000FF" w:themeColor="hyperlink"/>
      <w:u w:val="single"/>
    </w:rPr>
  </w:style>
  <w:style w:type="character" w:styleId="UnresolvedMention">
    <w:name w:val="Unresolved Mention"/>
    <w:basedOn w:val="DefaultParagraphFont"/>
    <w:uiPriority w:val="99"/>
    <w:semiHidden/>
    <w:unhideWhenUsed/>
    <w:rsid w:val="00C64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1631BA-1692-4D4A-9BD6-F76B2C873A58}">
  <ds:schemaRefs>
    <ds:schemaRef ds:uri="http://schemas.openxmlformats.org/officeDocument/2006/bibliography"/>
  </ds:schemaRefs>
</ds:datastoreItem>
</file>

<file path=customXml/itemProps2.xml><?xml version="1.0" encoding="utf-8"?>
<ds:datastoreItem xmlns:ds="http://schemas.openxmlformats.org/officeDocument/2006/customXml" ds:itemID="{7DD3E5AA-3557-4A9F-971D-0C393C343FB2}"/>
</file>

<file path=customXml/itemProps3.xml><?xml version="1.0" encoding="utf-8"?>
<ds:datastoreItem xmlns:ds="http://schemas.openxmlformats.org/officeDocument/2006/customXml" ds:itemID="{99626A19-755F-401E-A23F-1BF5F972BBB9}"/>
</file>

<file path=customXml/itemProps4.xml><?xml version="1.0" encoding="utf-8"?>
<ds:datastoreItem xmlns:ds="http://schemas.openxmlformats.org/officeDocument/2006/customXml" ds:itemID="{DD6F7C0E-A1B5-43DD-847A-CA6349154B35}"/>
</file>

<file path=docProps/app.xml><?xml version="1.0" encoding="utf-8"?>
<Properties xmlns="http://schemas.openxmlformats.org/officeDocument/2006/extended-properties" xmlns:vt="http://schemas.openxmlformats.org/officeDocument/2006/docPropsVTypes">
  <Template>Normal.dotm</Template>
  <TotalTime>1</TotalTime>
  <Pages>23</Pages>
  <Words>8982</Words>
  <Characters>51200</Characters>
  <Application>Microsoft Office Word</Application>
  <DocSecurity>4</DocSecurity>
  <Lines>426</Lines>
  <Paragraphs>120</Paragraphs>
  <ScaleCrop>false</ScaleCrop>
  <HeadingPairs>
    <vt:vector size="2" baseType="variant">
      <vt:variant>
        <vt:lpstr>Title</vt:lpstr>
      </vt:variant>
      <vt:variant>
        <vt:i4>1</vt:i4>
      </vt:variant>
    </vt:vector>
  </HeadingPairs>
  <TitlesOfParts>
    <vt:vector size="1" baseType="lpstr">
      <vt:lpstr>submission to The second action plan of the national plan to end violence Against women and children</vt:lpstr>
    </vt:vector>
  </TitlesOfParts>
  <Company/>
  <LinksUpToDate>false</LinksUpToDate>
  <CharactersWithSpaces>60062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second action plan of the national plan to end violence Against women and children</dc:title>
  <dc:subject>WHAT WERE YOU WEARING? AUSTRALIA</dc:subject>
  <dc:creator>Sarah Yeend</dc:creator>
  <cp:lastModifiedBy>BROOME, Lily</cp:lastModifiedBy>
  <cp:revision>2</cp:revision>
  <dcterms:created xsi:type="dcterms:W3CDTF">2026-09-07T01:30:00Z</dcterms:created>
  <dcterms:modified xsi:type="dcterms:W3CDTF">2026-09-07T01:30:00Z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