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FCFA0" w14:textId="77777777" w:rsid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sz w:val="32"/>
          <w:szCs w:val="32"/>
          <w:lang w:eastAsia="en-AU"/>
          <w14:ligatures w14:val="none"/>
        </w:rPr>
      </w:pPr>
    </w:p>
    <w:p w14:paraId="6E295373" w14:textId="312E6119"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kern w:val="36"/>
          <w:sz w:val="32"/>
          <w:szCs w:val="32"/>
          <w:lang w:eastAsia="en-AU"/>
          <w14:ligatures w14:val="none"/>
        </w:rPr>
      </w:pPr>
      <w:r w:rsidRPr="00B75493">
        <w:rPr>
          <w:rFonts w:ascii="Times New Roman" w:eastAsia="Times New Roman" w:hAnsi="Times New Roman" w:cs="Times New Roman"/>
          <w:b/>
          <w:bCs/>
          <w:kern w:val="36"/>
          <w:sz w:val="32"/>
          <w:szCs w:val="32"/>
          <w:lang w:eastAsia="en-AU"/>
          <w14:ligatures w14:val="none"/>
        </w:rPr>
        <w:t>Zonta Australia Submission</w:t>
      </w:r>
    </w:p>
    <w:p w14:paraId="4273509F" w14:textId="77777777" w:rsidR="00B75493" w:rsidRPr="00B75493" w:rsidRDefault="00B75493" w:rsidP="00B75493">
      <w:pPr>
        <w:spacing w:before="100" w:beforeAutospacing="1" w:after="100" w:afterAutospacing="1" w:line="240" w:lineRule="auto"/>
        <w:outlineLvl w:val="1"/>
        <w:rPr>
          <w:rFonts w:ascii="Times New Roman" w:eastAsia="Times New Roman" w:hAnsi="Times New Roman" w:cs="Times New Roman"/>
          <w:kern w:val="0"/>
          <w:sz w:val="28"/>
          <w:szCs w:val="28"/>
          <w:lang w:eastAsia="en-AU"/>
          <w14:ligatures w14:val="none"/>
        </w:rPr>
      </w:pPr>
      <w:r w:rsidRPr="00B75493">
        <w:rPr>
          <w:rFonts w:ascii="Times New Roman" w:eastAsia="Times New Roman" w:hAnsi="Times New Roman" w:cs="Times New Roman"/>
          <w:kern w:val="0"/>
          <w:sz w:val="28"/>
          <w:szCs w:val="28"/>
          <w:lang w:eastAsia="en-AU"/>
          <w14:ligatures w14:val="none"/>
        </w:rPr>
        <w:t>Consultation on the Second Action Plan</w:t>
      </w:r>
    </w:p>
    <w:p w14:paraId="5CE8C8B0" w14:textId="77777777"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kern w:val="0"/>
          <w:sz w:val="28"/>
          <w:szCs w:val="28"/>
          <w:lang w:eastAsia="en-AU"/>
          <w14:ligatures w14:val="none"/>
        </w:rPr>
      </w:pPr>
      <w:r w:rsidRPr="00B75493">
        <w:rPr>
          <w:rFonts w:ascii="Times New Roman" w:eastAsia="Times New Roman" w:hAnsi="Times New Roman" w:cs="Times New Roman"/>
          <w:kern w:val="0"/>
          <w:sz w:val="28"/>
          <w:szCs w:val="28"/>
          <w:lang w:eastAsia="en-AU"/>
          <w14:ligatures w14:val="none"/>
        </w:rPr>
        <w:t>National Plan to End Violence against Women and Children 2022–2032</w:t>
      </w:r>
    </w:p>
    <w:p w14:paraId="6967FB7A"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Introduction</w:t>
      </w:r>
    </w:p>
    <w:p w14:paraId="5527549B"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 welcomes the opportunity to contribute to the development of the Second Action Plan under the National Plan to End Violence against Women and Children 2022–2032.</w:t>
      </w:r>
    </w:p>
    <w:p w14:paraId="60E59D9E"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 is the national peak body representing more than 2,000 members across Australia through more than 100 clubs. As part of Zonta International, our mission is to build a better world for women and girls through advocacy, service and education.</w:t>
      </w:r>
    </w:p>
    <w:p w14:paraId="63DC9209"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Violence against women is a consequence of gender inequality. While Australia has made important progress through successive National Plans, rates of domestic, family and sexual violence remain unacceptably high. The Second Action Plan presents an opportunity to move beyond incremental improvement towards systemic reform that addresses both the drivers of violence and the conditions that allow it to persist.</w:t>
      </w:r>
    </w:p>
    <w:p w14:paraId="54F74D94"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Zonta Australia brings a distinctive perspective to this consultation through our integrated approach to service, advocacy and international engagement. Our members work alongside women and girls in communities across Australia, delivering local service initiatives, education and advocacy that respond to community needs. Nationally, Zonta Australia contributes to legislative and public policy reform through evidence-based advocacy and partnerships with governments and civil society organisations. </w:t>
      </w:r>
    </w:p>
    <w:p w14:paraId="1FDB42BB" w14:textId="58BC9043"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Internationally, as part of Zonta International, we contribute to global advocacy through our consultative status with the United Nations Economic and Social Council (ECOSOC) and our support for international human rights frameworks, including the Convention on the Elimination of All Forms of Discrimination against Women (CEDAW), the Beijing Declaration and Platform for Action and the Sustainable Development Goals. This experience demonstrates that lasting change is achieved when grassroots action, national leadership and international commitments work together to advance gender equality and end violence against women and girls.</w:t>
      </w:r>
    </w:p>
    <w:p w14:paraId="399BC325" w14:textId="1FDD1B46"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 supports the National Plan's vision that women and children live free from violence in safe, equal and respectful communities. Achieving this vision requires sustained national leadership, coordinated action across all levels of government and long-term investment in prevention.</w:t>
      </w:r>
    </w:p>
    <w:p w14:paraId="534766AC" w14:textId="77777777" w:rsidR="00B75493" w:rsidRDefault="00B75493" w:rsidP="00B75493">
      <w:pPr>
        <w:spacing w:before="100" w:beforeAutospacing="1" w:after="100" w:afterAutospacing="1" w:line="240" w:lineRule="auto"/>
        <w:outlineLvl w:val="0"/>
        <w:rPr>
          <w:rFonts w:ascii="Times New Roman" w:eastAsia="Times New Roman" w:hAnsi="Times New Roman" w:cs="Times New Roman"/>
          <w:kern w:val="36"/>
          <w:lang w:eastAsia="en-AU"/>
          <w14:ligatures w14:val="none"/>
        </w:rPr>
      </w:pPr>
    </w:p>
    <w:p w14:paraId="6932A152" w14:textId="77777777" w:rsidR="00B75493" w:rsidRDefault="00B75493" w:rsidP="00B75493">
      <w:pPr>
        <w:spacing w:before="100" w:beforeAutospacing="1" w:after="100" w:afterAutospacing="1" w:line="240" w:lineRule="auto"/>
        <w:outlineLvl w:val="0"/>
        <w:rPr>
          <w:rFonts w:ascii="Times New Roman" w:eastAsia="Times New Roman" w:hAnsi="Times New Roman" w:cs="Times New Roman"/>
          <w:kern w:val="36"/>
          <w:lang w:eastAsia="en-AU"/>
          <w14:ligatures w14:val="none"/>
        </w:rPr>
      </w:pPr>
    </w:p>
    <w:p w14:paraId="48CAFE81"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p>
    <w:p w14:paraId="62A2CC5A" w14:textId="5663AC04"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1. Prevention must remain Australia's highest priority</w:t>
      </w:r>
    </w:p>
    <w:p w14:paraId="1A868F3C"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Ending violence requires preventing it before it occurs.</w:t>
      </w:r>
    </w:p>
    <w:p w14:paraId="3731B1E9"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While crisis responses remain essential, Australia cannot respond its way out of violence. Greater investment is required in long-term prevention initiatives that challenge the attitudes, behaviours and structural inequalities that underpin violence against women.</w:t>
      </w:r>
    </w:p>
    <w:p w14:paraId="08830B91"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This includes:</w:t>
      </w:r>
    </w:p>
    <w:p w14:paraId="265F7DF0" w14:textId="77777777" w:rsidR="00B75493" w:rsidRPr="00B75493" w:rsidRDefault="00B75493" w:rsidP="00B75493">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respectful relationships education </w:t>
      </w:r>
    </w:p>
    <w:p w14:paraId="386F25DF" w14:textId="77777777" w:rsidR="00B75493" w:rsidRPr="00B75493" w:rsidRDefault="00B75493" w:rsidP="00B75493">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workplace gender equality initiatives </w:t>
      </w:r>
    </w:p>
    <w:p w14:paraId="1B0CB302" w14:textId="77777777" w:rsidR="00B75493" w:rsidRPr="00B75493" w:rsidRDefault="00B75493" w:rsidP="00B75493">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engaging men and boys as allies </w:t>
      </w:r>
    </w:p>
    <w:p w14:paraId="513C02C8" w14:textId="77777777" w:rsidR="00B75493" w:rsidRPr="00B75493" w:rsidRDefault="00B75493" w:rsidP="00B75493">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community education campaigns </w:t>
      </w:r>
    </w:p>
    <w:p w14:paraId="06438F32" w14:textId="77777777" w:rsidR="00B75493" w:rsidRPr="00B75493" w:rsidRDefault="00B75493" w:rsidP="00B75493">
      <w:pPr>
        <w:numPr>
          <w:ilvl w:val="0"/>
          <w:numId w:val="1"/>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prevention initiatives within sporting organisations, workplaces and local communities. </w:t>
      </w:r>
    </w:p>
    <w:p w14:paraId="68D93127"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Civil society organisations play a critical role in prevention. Organisations such as Zonta, with deep roots in local communities, help build respectful relationships, raise awareness, challenge harmful gender stereotypes and create opportunities for community-led action. Long-term investment in community partnerships strengthens prevention efforts by ensuring they are locally relevant, trusted and sustainable.</w:t>
      </w:r>
    </w:p>
    <w:p w14:paraId="6F3F83A6"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Short funding cycles undermine prevention efforts. Cultural change requires sustained investment over many years.</w:t>
      </w:r>
    </w:p>
    <w:p w14:paraId="72AA7961" w14:textId="77777777"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r w:rsidRPr="00B75493">
        <w:rPr>
          <w:rFonts w:ascii="Times New Roman" w:eastAsia="Times New Roman" w:hAnsi="Times New Roman" w:cs="Times New Roman"/>
          <w:b/>
          <w:bCs/>
          <w:i/>
          <w:iCs/>
          <w:kern w:val="0"/>
          <w:lang w:eastAsia="en-AU"/>
          <w14:ligatures w14:val="none"/>
        </w:rPr>
        <w:t>Recommendation 1</w:t>
      </w:r>
    </w:p>
    <w:p w14:paraId="10FF64AB"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Australian Government should commit to long-term funding (minimum five years) for evidence-based primary prevention programs, establish prevention as the principal investment priority under the Second Action Plan, and strengthen partnerships with civil society organisations delivering community-based prevention initiatives.</w:t>
      </w:r>
    </w:p>
    <w:p w14:paraId="2B7BD615" w14:textId="556A22B6"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2. Address the structural drivers of violence</w:t>
      </w:r>
    </w:p>
    <w:p w14:paraId="48D09FF2"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Violence against women cannot be separated from broader gender inequality.</w:t>
      </w:r>
    </w:p>
    <w:p w14:paraId="0694E939"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Women's economic insecurity, unequal caring responsibilities, housing affordability, insecure employment and barriers to leadership all increase vulnerability to violence and reduce women's capacity to leave abusive relationships.</w:t>
      </w:r>
    </w:p>
    <w:p w14:paraId="19C3EF2D"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Second Action Plan should strengthen links with Commonwealth policies relating to:</w:t>
      </w:r>
    </w:p>
    <w:p w14:paraId="2878C5EB" w14:textId="77777777" w:rsid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headerReference w:type="default" r:id="rId7"/>
          <w:footerReference w:type="default" r:id="rId8"/>
          <w:pgSz w:w="11906" w:h="16838"/>
          <w:pgMar w:top="1440" w:right="1440" w:bottom="1440" w:left="1440" w:header="708" w:footer="708" w:gutter="0"/>
          <w:cols w:space="708"/>
          <w:docGrid w:linePitch="360"/>
        </w:sectPr>
      </w:pPr>
    </w:p>
    <w:p w14:paraId="0CBB3F0F"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economic security </w:t>
      </w:r>
    </w:p>
    <w:p w14:paraId="066ECE49"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housing </w:t>
      </w:r>
    </w:p>
    <w:p w14:paraId="63EC83F5"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childcare </w:t>
      </w:r>
    </w:p>
    <w:p w14:paraId="038F4C1D"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paid parental leave </w:t>
      </w:r>
    </w:p>
    <w:p w14:paraId="2B679C8C"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workplace gender equality </w:t>
      </w:r>
    </w:p>
    <w:p w14:paraId="40ED808C"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women's leadership </w:t>
      </w:r>
    </w:p>
    <w:p w14:paraId="726964F5"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Closing the Gap </w:t>
      </w:r>
    </w:p>
    <w:p w14:paraId="5052ECA3" w14:textId="77777777" w:rsidR="00B75493" w:rsidRPr="00B75493" w:rsidRDefault="00B75493" w:rsidP="00B75493">
      <w:pPr>
        <w:numPr>
          <w:ilvl w:val="0"/>
          <w:numId w:val="2"/>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disability inclusion. </w:t>
      </w:r>
    </w:p>
    <w:p w14:paraId="3C4D7F38"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rsidSect="00B75493">
          <w:type w:val="continuous"/>
          <w:pgSz w:w="11906" w:h="16838"/>
          <w:pgMar w:top="1440" w:right="1440" w:bottom="1440" w:left="1440" w:header="708" w:footer="708" w:gutter="0"/>
          <w:cols w:num="2" w:space="708"/>
          <w:docGrid w:linePitch="360"/>
        </w:sectPr>
      </w:pPr>
    </w:p>
    <w:p w14:paraId="69619C55"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p>
    <w:p w14:paraId="184CF6C5" w14:textId="04165FB0"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Violence prevention should not be viewed solely as a community services issue but as a whole-of-government responsibility.</w:t>
      </w:r>
    </w:p>
    <w:p w14:paraId="5BA396F7"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Civil society organisations provide an essential bridge between government policy and community experience. Their contribution should extend beyond service delivery to include policy development, implementation and evaluation, ensuring that national strategies remain informed by lived experience and local knowledge.</w:t>
      </w:r>
    </w:p>
    <w:p w14:paraId="2DE372CC" w14:textId="77777777"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r w:rsidRPr="00B75493">
        <w:rPr>
          <w:rFonts w:ascii="Times New Roman" w:eastAsia="Times New Roman" w:hAnsi="Times New Roman" w:cs="Times New Roman"/>
          <w:b/>
          <w:bCs/>
          <w:i/>
          <w:iCs/>
          <w:kern w:val="0"/>
          <w:lang w:eastAsia="en-AU"/>
          <w14:ligatures w14:val="none"/>
        </w:rPr>
        <w:t>Recommendation 2</w:t>
      </w:r>
    </w:p>
    <w:p w14:paraId="09B7D9A0"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Embed gender impact assessments across Commonwealth policy development to ensure major policy reforms contribute to reducing gender inequality and preventing violence against women.</w:t>
      </w:r>
    </w:p>
    <w:p w14:paraId="2AE73450"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3. Strengthen intersectional responses</w:t>
      </w:r>
    </w:p>
    <w:p w14:paraId="02CE9B70"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Women experience violence differently depending on their circumstances.</w:t>
      </w:r>
    </w:p>
    <w:p w14:paraId="4B2DB7E8"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Second Action Plan should strengthen targeted responses for:</w:t>
      </w:r>
    </w:p>
    <w:p w14:paraId="33F51D2B"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Aboriginal and Torres Strait Islander women </w:t>
      </w:r>
    </w:p>
    <w:p w14:paraId="5D6CDBF4"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women with disability </w:t>
      </w:r>
    </w:p>
    <w:p w14:paraId="343EF79C"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migrant and refugee women </w:t>
      </w:r>
    </w:p>
    <w:p w14:paraId="6EADD896"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older women </w:t>
      </w:r>
    </w:p>
    <w:p w14:paraId="1E5AE62F"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women in rural, regional and remote Australia </w:t>
      </w:r>
    </w:p>
    <w:p w14:paraId="203D5DF0"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culturally and linguistically diverse communities </w:t>
      </w:r>
    </w:p>
    <w:p w14:paraId="6D4970E3" w14:textId="77777777" w:rsidR="00B75493" w:rsidRPr="00B75493" w:rsidRDefault="00B75493" w:rsidP="00B75493">
      <w:pPr>
        <w:numPr>
          <w:ilvl w:val="0"/>
          <w:numId w:val="3"/>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LGBTIQ+ people experiencing gender-based violence. </w:t>
      </w:r>
    </w:p>
    <w:p w14:paraId="357CB737"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Programs should be co-designed with affected communities to ensure culturally safe, accessible and effective services.</w:t>
      </w:r>
    </w:p>
    <w:p w14:paraId="0C8D9179"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Community-based organisations that work directly with diverse groups of women bring trusted relationships, cultural understanding and lived experience that are essential to designing effective responses. Their ongoing involvement should be recognised as a core strength of Australia's response to gender-based violence.</w:t>
      </w:r>
    </w:p>
    <w:p w14:paraId="1A1C6BBA"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4. Recognise emerging forms of violence</w:t>
      </w:r>
    </w:p>
    <w:p w14:paraId="4F5D860D"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Technology is changing the way violence is perpetrated.</w:t>
      </w:r>
    </w:p>
    <w:p w14:paraId="51EC8580"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Technology-facilitated abuse, image-based abuse, online coercive control, financial abuse through digital platforms and emerging AI-enabled abuse require coordinated national responses.</w:t>
      </w:r>
    </w:p>
    <w:p w14:paraId="79CA6519" w14:textId="73D969F8"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Australia has an opportunity to become a global leader in addressing technology-enabled gender-based violence before these harms become further entrenched.</w:t>
      </w:r>
    </w:p>
    <w:p w14:paraId="6A673776" w14:textId="77777777" w:rsidR="00B75493" w:rsidRDefault="00B75493" w:rsidP="00B75493">
      <w:pPr>
        <w:spacing w:before="100" w:beforeAutospacing="1" w:after="100" w:afterAutospacing="1" w:line="240" w:lineRule="auto"/>
        <w:outlineLvl w:val="2"/>
        <w:rPr>
          <w:rFonts w:ascii="Times New Roman" w:eastAsia="Times New Roman" w:hAnsi="Times New Roman" w:cs="Times New Roman"/>
          <w:kern w:val="0"/>
          <w:lang w:eastAsia="en-AU"/>
          <w14:ligatures w14:val="none"/>
        </w:rPr>
      </w:pPr>
    </w:p>
    <w:p w14:paraId="4D650B59" w14:textId="77777777" w:rsid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p>
    <w:p w14:paraId="6B0E66ED" w14:textId="77777777" w:rsid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p>
    <w:p w14:paraId="64957BF9" w14:textId="38713BC3"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r w:rsidRPr="00B75493">
        <w:rPr>
          <w:rFonts w:ascii="Times New Roman" w:eastAsia="Times New Roman" w:hAnsi="Times New Roman" w:cs="Times New Roman"/>
          <w:b/>
          <w:bCs/>
          <w:i/>
          <w:iCs/>
          <w:kern w:val="0"/>
          <w:lang w:eastAsia="en-AU"/>
          <w14:ligatures w14:val="none"/>
        </w:rPr>
        <w:t>Recommendation 3</w:t>
      </w:r>
    </w:p>
    <w:p w14:paraId="55C1DE17"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Develop a national strategy addressing technology-facilitated and AI-enabled abuse, supported by research, legislative reform, education and law enforcement capability.</w:t>
      </w:r>
    </w:p>
    <w:p w14:paraId="75C3BE8C"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5. Climate change is an emerging violence prevention issue</w:t>
      </w:r>
    </w:p>
    <w:p w14:paraId="7171E70F"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 encourages the Australian Government to explicitly recognise the relationship between climate change, disasters and increased risks of gender-based violence.</w:t>
      </w:r>
    </w:p>
    <w:p w14:paraId="39BA215C"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Evidence from Australia and internationally demonstrates that disasters can increase:</w:t>
      </w:r>
    </w:p>
    <w:p w14:paraId="29B21C5A" w14:textId="77777777" w:rsid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rsidSect="00B75493">
          <w:type w:val="continuous"/>
          <w:pgSz w:w="11906" w:h="16838"/>
          <w:pgMar w:top="1440" w:right="1440" w:bottom="1440" w:left="1440" w:header="708" w:footer="708" w:gutter="0"/>
          <w:cols w:space="708"/>
          <w:docGrid w:linePitch="360"/>
        </w:sectPr>
      </w:pPr>
    </w:p>
    <w:p w14:paraId="349EAA74"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domestic and family violence </w:t>
      </w:r>
    </w:p>
    <w:p w14:paraId="45FDEA6C"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housing insecurity </w:t>
      </w:r>
    </w:p>
    <w:p w14:paraId="3917199C"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economic vulnerability </w:t>
      </w:r>
    </w:p>
    <w:p w14:paraId="463E507C"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displacement </w:t>
      </w:r>
    </w:p>
    <w:p w14:paraId="5FA28494"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social isolation </w:t>
      </w:r>
    </w:p>
    <w:p w14:paraId="78C5124E" w14:textId="77777777" w:rsidR="00B75493" w:rsidRPr="00B75493" w:rsidRDefault="00B75493" w:rsidP="00B75493">
      <w:pPr>
        <w:numPr>
          <w:ilvl w:val="0"/>
          <w:numId w:val="4"/>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exploitation of women and girls. </w:t>
      </w:r>
    </w:p>
    <w:p w14:paraId="30F66E3B"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rsidSect="00B75493">
          <w:type w:val="continuous"/>
          <w:pgSz w:w="11906" w:h="16838"/>
          <w:pgMar w:top="1440" w:right="1440" w:bottom="1440" w:left="1440" w:header="708" w:footer="708" w:gutter="0"/>
          <w:cols w:num="2" w:space="708"/>
          <w:docGrid w:linePitch="360"/>
        </w:sectPr>
      </w:pPr>
    </w:p>
    <w:p w14:paraId="3B5C33CC"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Climate change therefore represents not only an environmental challenge but also a gender equality and human rights issue.</w:t>
      </w:r>
    </w:p>
    <w:p w14:paraId="5B3BDD84"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Australia's disaster planning and recovery systems should routinely incorporate gender-responsive approaches to violence prevention and recovery.</w:t>
      </w:r>
    </w:p>
    <w:p w14:paraId="22AE0AF0"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Community organisations play a critical role before, during and after disasters, supporting local resilience and ensuring recovery efforts strengthen safety, inclusion and gender equality. Integrating gender-responsive disaster planning into the Second Action Plan will help reduce the heightened risks experienced by women and girls during climate-related emergencies.</w:t>
      </w:r>
    </w:p>
    <w:p w14:paraId="09E667F1"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This aligns with Australia's commitments under CEDAW, the Sustainable Development Goals and international frameworks recognising the intersection between gender equality and climate resilience.</w:t>
      </w:r>
    </w:p>
    <w:p w14:paraId="672E385A" w14:textId="77777777"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b/>
          <w:bCs/>
          <w:i/>
          <w:iCs/>
          <w:kern w:val="0"/>
          <w:lang w:eastAsia="en-AU"/>
          <w14:ligatures w14:val="none"/>
        </w:rPr>
      </w:pPr>
      <w:r w:rsidRPr="00B75493">
        <w:rPr>
          <w:rFonts w:ascii="Times New Roman" w:eastAsia="Times New Roman" w:hAnsi="Times New Roman" w:cs="Times New Roman"/>
          <w:b/>
          <w:bCs/>
          <w:i/>
          <w:iCs/>
          <w:kern w:val="0"/>
          <w:lang w:eastAsia="en-AU"/>
          <w14:ligatures w14:val="none"/>
        </w:rPr>
        <w:t>Recommendation 4</w:t>
      </w:r>
    </w:p>
    <w:p w14:paraId="7334D08D"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Integrate gender-responsive disaster preparedness, emergency management and climate resilience into the implementation of the Second Action Plan.</w:t>
      </w:r>
    </w:p>
    <w:p w14:paraId="252385CE"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6. Strengthen accountability</w:t>
      </w:r>
    </w:p>
    <w:p w14:paraId="5ED0E855"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Australia has produced numerous inquiries, reviews and strategies addressing violence against women.</w:t>
      </w:r>
    </w:p>
    <w:p w14:paraId="0F6DDD13" w14:textId="3752BBAF"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challenge is no longer identifying what needs to be done—it is ensuring consistent implementation and measurable progress.</w:t>
      </w:r>
      <w:r w:rsidR="00180D69">
        <w:rPr>
          <w:rFonts w:ascii="Times New Roman" w:eastAsia="Times New Roman" w:hAnsi="Times New Roman" w:cs="Times New Roman"/>
          <w:kern w:val="0"/>
          <w:lang w:eastAsia="en-AU"/>
          <w14:ligatures w14:val="none"/>
        </w:rPr>
        <w:t xml:space="preserve">  Turning data and ambition into action.</w:t>
      </w:r>
    </w:p>
    <w:p w14:paraId="78962999"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p>
    <w:p w14:paraId="6A1342E9"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p>
    <w:p w14:paraId="04C6CD5D" w14:textId="33C6BB7C"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Second Action Plan should strengthen:</w:t>
      </w:r>
    </w:p>
    <w:p w14:paraId="3D9ACA39" w14:textId="77777777" w:rsid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rsidSect="00B75493">
          <w:type w:val="continuous"/>
          <w:pgSz w:w="11906" w:h="16838"/>
          <w:pgMar w:top="1440" w:right="1440" w:bottom="1440" w:left="1440" w:header="708" w:footer="708" w:gutter="0"/>
          <w:cols w:space="708"/>
          <w:docGrid w:linePitch="360"/>
        </w:sectPr>
      </w:pPr>
    </w:p>
    <w:p w14:paraId="59C129BF" w14:textId="77777777" w:rsidR="00B75493" w:rsidRP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nationally consistent data </w:t>
      </w:r>
    </w:p>
    <w:p w14:paraId="626B70BB" w14:textId="77777777" w:rsidR="00B75493" w:rsidRP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outcome measurement </w:t>
      </w:r>
    </w:p>
    <w:p w14:paraId="4ED0A8CC" w14:textId="77777777" w:rsidR="00B75493" w:rsidRP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independent evaluation </w:t>
      </w:r>
    </w:p>
    <w:p w14:paraId="35E88568" w14:textId="77777777" w:rsidR="00B75493" w:rsidRP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transparent reporting </w:t>
      </w:r>
    </w:p>
    <w:p w14:paraId="3452C4D1" w14:textId="77777777" w:rsidR="00B75493" w:rsidRPr="00B75493" w:rsidRDefault="00B75493" w:rsidP="00B75493">
      <w:pPr>
        <w:numPr>
          <w:ilvl w:val="0"/>
          <w:numId w:val="5"/>
        </w:num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 xml:space="preserve">public accountability. </w:t>
      </w:r>
    </w:p>
    <w:p w14:paraId="764CB742"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sectPr w:rsidR="00B75493" w:rsidSect="00B75493">
          <w:type w:val="continuous"/>
          <w:pgSz w:w="11906" w:h="16838"/>
          <w:pgMar w:top="1440" w:right="1440" w:bottom="1440" w:left="1440" w:header="708" w:footer="708" w:gutter="0"/>
          <w:cols w:num="2" w:space="708"/>
          <w:docGrid w:linePitch="360"/>
        </w:sectPr>
      </w:pPr>
    </w:p>
    <w:p w14:paraId="65096B40" w14:textId="77777777" w:rsid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p>
    <w:p w14:paraId="66555E30" w14:textId="356452CA"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Governments cannot achieve the objectives of the National Plan alone. Ongoing partnership with civil society organisations should include meaningful engagement in policy development, implementation and evaluation. Organisations with long-standing community connections provide valuable evidence about emerging issues, barriers experienced by women and the effectiveness of government initiatives.</w:t>
      </w:r>
    </w:p>
    <w:p w14:paraId="740B5697"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Success should be measured by improvements in safety and wellbeing, not solely by program outputs or funding allocations.</w:t>
      </w:r>
    </w:p>
    <w:p w14:paraId="7205C20F" w14:textId="77777777" w:rsidR="00B75493" w:rsidRPr="00B75493" w:rsidRDefault="00B75493" w:rsidP="00B75493">
      <w:pPr>
        <w:spacing w:before="100" w:beforeAutospacing="1" w:after="100" w:afterAutospacing="1" w:line="240" w:lineRule="auto"/>
        <w:outlineLvl w:val="2"/>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Recommendation 5</w:t>
      </w:r>
    </w:p>
    <w:p w14:paraId="61F2A62B"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Publish an annual public report measuring progress against nationally agreed indicators, supported by independent evaluation and transparent reporting to Parliament, and establish a structured mechanism for ongoing engagement with civil society organisations in monitoring implementation of the Second Action Plan.</w:t>
      </w:r>
    </w:p>
    <w:p w14:paraId="3790F04B" w14:textId="77777777" w:rsidR="00B75493" w:rsidRPr="00B75493" w:rsidRDefault="00B75493" w:rsidP="00B75493">
      <w:pPr>
        <w:spacing w:before="100" w:beforeAutospacing="1" w:after="100" w:afterAutospacing="1" w:line="240" w:lineRule="auto"/>
        <w:outlineLvl w:val="0"/>
        <w:rPr>
          <w:rFonts w:ascii="Times New Roman" w:eastAsia="Times New Roman" w:hAnsi="Times New Roman" w:cs="Times New Roman"/>
          <w:b/>
          <w:bCs/>
          <w:kern w:val="36"/>
          <w:lang w:eastAsia="en-AU"/>
          <w14:ligatures w14:val="none"/>
        </w:rPr>
      </w:pPr>
      <w:r w:rsidRPr="00B75493">
        <w:rPr>
          <w:rFonts w:ascii="Times New Roman" w:eastAsia="Times New Roman" w:hAnsi="Times New Roman" w:cs="Times New Roman"/>
          <w:b/>
          <w:bCs/>
          <w:kern w:val="36"/>
          <w:lang w:eastAsia="en-AU"/>
          <w14:ligatures w14:val="none"/>
        </w:rPr>
        <w:t>Conclusion</w:t>
      </w:r>
    </w:p>
    <w:p w14:paraId="4E5F4908"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 strongly supports the development of the Second Action Plan and welcomes the Australian Government's continued commitment to ending violence against women and children.</w:t>
      </w:r>
    </w:p>
    <w:p w14:paraId="3881A54D"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The Second Action Plan provides an opportunity to build on the foundations established under the First Action Plan while strengthening Australia's focus on prevention, addressing the structural drivers of violence, responding to emerging forms of abuse and improving national accountability.</w:t>
      </w:r>
    </w:p>
    <w:p w14:paraId="60AF5C4E"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Violence against women is preventable. Achieving lasting change requires sustained leadership, coordinated action across governments, meaningful partnerships with civil society and long-term investment in gender equality.</w:t>
      </w:r>
    </w:p>
    <w:p w14:paraId="4274F44D" w14:textId="77777777" w:rsidR="00B75493" w:rsidRPr="00B75493" w:rsidRDefault="00B75493" w:rsidP="00B75493">
      <w:pPr>
        <w:spacing w:before="100" w:beforeAutospacing="1" w:after="100" w:afterAutospacing="1" w:line="240" w:lineRule="auto"/>
        <w:rPr>
          <w:rFonts w:ascii="Times New Roman" w:eastAsia="Times New Roman" w:hAnsi="Times New Roman" w:cs="Times New Roman"/>
          <w:kern w:val="0"/>
          <w:lang w:eastAsia="en-AU"/>
          <w14:ligatures w14:val="none"/>
        </w:rPr>
      </w:pPr>
      <w:r w:rsidRPr="00B75493">
        <w:rPr>
          <w:rFonts w:ascii="Times New Roman" w:eastAsia="Times New Roman" w:hAnsi="Times New Roman" w:cs="Times New Roman"/>
          <w:kern w:val="0"/>
          <w:lang w:eastAsia="en-AU"/>
          <w14:ligatures w14:val="none"/>
        </w:rPr>
        <w:t>Zonta Australia's experience demonstrates that progress is strongest when grassroots action is connected to national policy and informed by international human rights commitments. Through our local clubs, our national advocacy and our contribution to Zonta International's work with the United Nations, we see the importance of aligning community action with evidence-based public policy and global commitments to gender equality.</w:t>
      </w:r>
    </w:p>
    <w:p w14:paraId="0BB546A5" w14:textId="7FFACDB1" w:rsidR="00371D42" w:rsidRPr="00B75493" w:rsidRDefault="00B75493" w:rsidP="00B75493">
      <w:pPr>
        <w:spacing w:before="100" w:beforeAutospacing="1" w:after="100" w:afterAutospacing="1" w:line="240" w:lineRule="auto"/>
        <w:rPr>
          <w:rFonts w:ascii="Times New Roman" w:hAnsi="Times New Roman" w:cs="Times New Roman"/>
        </w:rPr>
      </w:pPr>
      <w:r w:rsidRPr="00B75493">
        <w:rPr>
          <w:rFonts w:ascii="Times New Roman" w:eastAsia="Times New Roman" w:hAnsi="Times New Roman" w:cs="Times New Roman"/>
          <w:kern w:val="0"/>
          <w:lang w:eastAsia="en-AU"/>
          <w14:ligatures w14:val="none"/>
        </w:rPr>
        <w:t>Zonta Australia looks forward to continuing to work collaboratively with governments, civil society organisations and communities to build an Australia where every woman and child can live free from violence, with equality, dignity and opportunity.</w:t>
      </w:r>
    </w:p>
    <w:sectPr w:rsidR="00371D42" w:rsidRPr="00B75493" w:rsidSect="00B75493">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F088B" w14:textId="77777777" w:rsidR="00587457" w:rsidRDefault="00587457" w:rsidP="00B75493">
      <w:pPr>
        <w:spacing w:after="0" w:line="240" w:lineRule="auto"/>
      </w:pPr>
      <w:r>
        <w:separator/>
      </w:r>
    </w:p>
  </w:endnote>
  <w:endnote w:type="continuationSeparator" w:id="0">
    <w:p w14:paraId="0AD46BE1" w14:textId="77777777" w:rsidR="00587457" w:rsidRDefault="00587457" w:rsidP="00B7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829934"/>
      <w:docPartObj>
        <w:docPartGallery w:val="Page Numbers (Bottom of Page)"/>
        <w:docPartUnique/>
      </w:docPartObj>
    </w:sdtPr>
    <w:sdtEndPr>
      <w:rPr>
        <w:noProof/>
      </w:rPr>
    </w:sdtEndPr>
    <w:sdtContent>
      <w:p w14:paraId="324677BD" w14:textId="08802C31" w:rsidR="00B75493" w:rsidRDefault="00B7549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959914" w14:textId="77777777" w:rsidR="00B75493" w:rsidRDefault="00B75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8AA5E" w14:textId="77777777" w:rsidR="00587457" w:rsidRDefault="00587457" w:rsidP="00B75493">
      <w:pPr>
        <w:spacing w:after="0" w:line="240" w:lineRule="auto"/>
      </w:pPr>
      <w:r>
        <w:separator/>
      </w:r>
    </w:p>
  </w:footnote>
  <w:footnote w:type="continuationSeparator" w:id="0">
    <w:p w14:paraId="77093667" w14:textId="77777777" w:rsidR="00587457" w:rsidRDefault="00587457" w:rsidP="00B7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97AC8" w14:textId="486657BE" w:rsidR="00B75493" w:rsidRDefault="00B75493" w:rsidP="00B75493">
    <w:pPr>
      <w:pStyle w:val="Header"/>
      <w:tabs>
        <w:tab w:val="clear" w:pos="4513"/>
        <w:tab w:val="clear" w:pos="9026"/>
        <w:tab w:val="left" w:pos="2895"/>
      </w:tabs>
      <w:jc w:val="right"/>
    </w:pPr>
    <w:r>
      <w:tab/>
    </w:r>
    <w:r>
      <w:rPr>
        <w:noProof/>
        <w:lang w:eastAsia="en-AU"/>
      </w:rPr>
      <w:drawing>
        <wp:inline distT="0" distB="0" distL="0" distR="0" wp14:anchorId="1940FBE0" wp14:editId="6D0B90C5">
          <wp:extent cx="1247775" cy="441685"/>
          <wp:effectExtent l="0" t="0" r="0" b="0"/>
          <wp:docPr id="2051951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715052" name="Picture 1184715052"/>
                  <pic:cNvPicPr/>
                </pic:nvPicPr>
                <pic:blipFill>
                  <a:blip r:embed="rId1">
                    <a:extLst>
                      <a:ext uri="{28A0092B-C50C-407E-A947-70E740481C1C}">
                        <a14:useLocalDpi xmlns:a14="http://schemas.microsoft.com/office/drawing/2010/main" val="0"/>
                      </a:ext>
                    </a:extLst>
                  </a:blip>
                  <a:stretch>
                    <a:fillRect/>
                  </a:stretch>
                </pic:blipFill>
                <pic:spPr>
                  <a:xfrm>
                    <a:off x="0" y="0"/>
                    <a:ext cx="1271790" cy="4501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14651"/>
    <w:multiLevelType w:val="multilevel"/>
    <w:tmpl w:val="EEF8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E10669"/>
    <w:multiLevelType w:val="multilevel"/>
    <w:tmpl w:val="0E60C7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4B891BD9"/>
    <w:multiLevelType w:val="multilevel"/>
    <w:tmpl w:val="016A8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BF32B6"/>
    <w:multiLevelType w:val="multilevel"/>
    <w:tmpl w:val="6088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9B5BF4"/>
    <w:multiLevelType w:val="multilevel"/>
    <w:tmpl w:val="AFA0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0719054">
    <w:abstractNumId w:val="0"/>
  </w:num>
  <w:num w:numId="2" w16cid:durableId="1122384974">
    <w:abstractNumId w:val="1"/>
  </w:num>
  <w:num w:numId="3" w16cid:durableId="38479352">
    <w:abstractNumId w:val="2"/>
  </w:num>
  <w:num w:numId="4" w16cid:durableId="757752874">
    <w:abstractNumId w:val="3"/>
  </w:num>
  <w:num w:numId="5" w16cid:durableId="14108882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93"/>
    <w:rsid w:val="00180D69"/>
    <w:rsid w:val="00371D42"/>
    <w:rsid w:val="00587457"/>
    <w:rsid w:val="005B22BB"/>
    <w:rsid w:val="006D78FB"/>
    <w:rsid w:val="00873215"/>
    <w:rsid w:val="00B75493"/>
    <w:rsid w:val="00B765E2"/>
    <w:rsid w:val="00C35ADF"/>
    <w:rsid w:val="00F11E5C"/>
    <w:rsid w:val="00FE01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58531"/>
  <w15:chartTrackingRefBased/>
  <w15:docId w15:val="{BE29EF85-8CE0-4D5F-BB8A-6FE1D87D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3A"/>
  </w:style>
  <w:style w:type="paragraph" w:styleId="Heading1">
    <w:name w:val="heading 1"/>
    <w:basedOn w:val="Normal"/>
    <w:next w:val="Normal"/>
    <w:link w:val="Heading1Char"/>
    <w:uiPriority w:val="9"/>
    <w:qFormat/>
    <w:rsid w:val="00FE0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13A"/>
    <w:rPr>
      <w:rFonts w:eastAsiaTheme="majorEastAsia" w:cstheme="majorBidi"/>
      <w:color w:val="272727" w:themeColor="text1" w:themeTint="D8"/>
    </w:rPr>
  </w:style>
  <w:style w:type="paragraph" w:styleId="Title">
    <w:name w:val="Title"/>
    <w:basedOn w:val="Normal"/>
    <w:next w:val="Normal"/>
    <w:link w:val="TitleChar"/>
    <w:uiPriority w:val="10"/>
    <w:qFormat/>
    <w:rsid w:val="00FE0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13A"/>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FE013A"/>
    <w:pPr>
      <w:ind w:left="720"/>
      <w:contextualSpacing/>
    </w:pPr>
  </w:style>
  <w:style w:type="paragraph" w:styleId="Quote">
    <w:name w:val="Quote"/>
    <w:basedOn w:val="Normal"/>
    <w:next w:val="Normal"/>
    <w:link w:val="QuoteChar"/>
    <w:uiPriority w:val="29"/>
    <w:qFormat/>
    <w:rsid w:val="00FE013A"/>
    <w:pPr>
      <w:spacing w:before="160"/>
      <w:jc w:val="center"/>
    </w:pPr>
    <w:rPr>
      <w:i/>
      <w:iCs/>
      <w:color w:val="404040" w:themeColor="text1" w:themeTint="BF"/>
    </w:rPr>
  </w:style>
  <w:style w:type="character" w:customStyle="1" w:styleId="QuoteChar">
    <w:name w:val="Quote Char"/>
    <w:basedOn w:val="DefaultParagraphFont"/>
    <w:link w:val="Quote"/>
    <w:uiPriority w:val="29"/>
    <w:rsid w:val="00FE013A"/>
    <w:rPr>
      <w:i/>
      <w:iCs/>
      <w:color w:val="404040" w:themeColor="text1" w:themeTint="BF"/>
    </w:rPr>
  </w:style>
  <w:style w:type="paragraph" w:styleId="IntenseQuote">
    <w:name w:val="Intense Quote"/>
    <w:basedOn w:val="Normal"/>
    <w:next w:val="Normal"/>
    <w:link w:val="IntenseQuoteChar"/>
    <w:uiPriority w:val="30"/>
    <w:qFormat/>
    <w:rsid w:val="00FE0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13A"/>
    <w:rPr>
      <w:i/>
      <w:iCs/>
      <w:color w:val="0F4761" w:themeColor="accent1" w:themeShade="BF"/>
    </w:rPr>
  </w:style>
  <w:style w:type="character" w:styleId="IntenseEmphasis">
    <w:name w:val="Intense Emphasis"/>
    <w:basedOn w:val="DefaultParagraphFont"/>
    <w:uiPriority w:val="21"/>
    <w:qFormat/>
    <w:rsid w:val="00FE013A"/>
    <w:rPr>
      <w:i/>
      <w:iCs/>
      <w:color w:val="0F4761" w:themeColor="accent1" w:themeShade="BF"/>
    </w:rPr>
  </w:style>
  <w:style w:type="character" w:styleId="IntenseReference">
    <w:name w:val="Intense Reference"/>
    <w:basedOn w:val="DefaultParagraphFont"/>
    <w:uiPriority w:val="32"/>
    <w:qFormat/>
    <w:rsid w:val="00FE013A"/>
    <w:rPr>
      <w:b/>
      <w:bCs/>
      <w:smallCaps/>
      <w:color w:val="0F4761" w:themeColor="accent1" w:themeShade="BF"/>
      <w:spacing w:val="5"/>
    </w:rPr>
  </w:style>
  <w:style w:type="paragraph" w:styleId="Header">
    <w:name w:val="header"/>
    <w:basedOn w:val="Normal"/>
    <w:link w:val="HeaderChar"/>
    <w:uiPriority w:val="99"/>
    <w:unhideWhenUsed/>
    <w:rsid w:val="00B754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493"/>
  </w:style>
  <w:style w:type="paragraph" w:styleId="Footer">
    <w:name w:val="footer"/>
    <w:basedOn w:val="Normal"/>
    <w:link w:val="FooterChar"/>
    <w:uiPriority w:val="99"/>
    <w:unhideWhenUsed/>
    <w:rsid w:val="00B754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ABB839-ABB4-4503-A7DA-46A83FF24D36}"/>
</file>

<file path=customXml/itemProps2.xml><?xml version="1.0" encoding="utf-8"?>
<ds:datastoreItem xmlns:ds="http://schemas.openxmlformats.org/officeDocument/2006/customXml" ds:itemID="{6B003641-B95B-424D-B8A4-1473DF73D240}"/>
</file>

<file path=customXml/itemProps3.xml><?xml version="1.0" encoding="utf-8"?>
<ds:datastoreItem xmlns:ds="http://schemas.openxmlformats.org/officeDocument/2006/customXml" ds:itemID="{0B872B54-7915-49F0-896B-379B1976D9E6}"/>
</file>

<file path=docProps/app.xml><?xml version="1.0" encoding="utf-8"?>
<Properties xmlns="http://schemas.openxmlformats.org/officeDocument/2006/extended-properties" xmlns:vt="http://schemas.openxmlformats.org/officeDocument/2006/docPropsVTypes">
  <Template>Normal.dotm</Template>
  <TotalTime>0</TotalTime>
  <Pages>5</Pages>
  <Words>1614</Words>
  <Characters>9206</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Mather</dc:creator>
  <cp:keywords/>
  <dc:description/>
  <cp:lastModifiedBy>BROOME, Lily</cp:lastModifiedBy>
  <cp:revision>2</cp:revision>
  <dcterms:created xsi:type="dcterms:W3CDTF">2026-09-07T02:21:00Z</dcterms:created>
  <dcterms:modified xsi:type="dcterms:W3CDTF">2026-09-07T02:21:00Z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